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C7820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right="0"/>
        <w:jc w:val="center"/>
        <w:textAlignment w:val="auto"/>
        <w:rPr>
          <w:rStyle w:val="12"/>
          <w:rFonts w:hint="eastAsia" w:ascii="方正大标宋_GBK" w:hAnsi="方正大标宋_GBK" w:eastAsia="方正大标宋_GBK" w:cs="方正大标宋_GBK"/>
          <w:b w:val="0"/>
          <w:bCs/>
          <w:color w:val="auto"/>
          <w:sz w:val="44"/>
          <w:szCs w:val="44"/>
          <w:highlight w:val="none"/>
          <w:lang w:eastAsia="zh-CN"/>
        </w:rPr>
      </w:pPr>
      <w:bookmarkStart w:id="0" w:name="_GoBack"/>
      <w:bookmarkEnd w:id="0"/>
      <w:r>
        <w:rPr>
          <w:rStyle w:val="12"/>
          <w:rFonts w:hint="eastAsia" w:ascii="方正大标宋_GBK" w:hAnsi="方正大标宋_GBK" w:eastAsia="方正大标宋_GBK" w:cs="方正大标宋_GBK"/>
          <w:b w:val="0"/>
          <w:bCs/>
          <w:color w:val="auto"/>
          <w:sz w:val="44"/>
          <w:szCs w:val="44"/>
          <w:highlight w:val="none"/>
          <w:lang w:eastAsia="zh-CN"/>
        </w:rPr>
        <w:t>通化市公共数据资源授权运营实施方案（试行）</w:t>
      </w:r>
    </w:p>
    <w:p w14:paraId="53762A8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3" w:firstLineChars="200"/>
        <w:textAlignment w:val="auto"/>
        <w:rPr>
          <w:rStyle w:val="12"/>
          <w:rFonts w:hint="eastAsia" w:ascii="Times New Roman" w:hAnsi="Times New Roman" w:eastAsia="仿宋" w:cs="仿宋"/>
          <w:color w:val="auto"/>
          <w:sz w:val="32"/>
          <w:szCs w:val="32"/>
          <w:highlight w:val="none"/>
        </w:rPr>
      </w:pPr>
    </w:p>
    <w:p w14:paraId="3A26237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Fonts w:hint="eastAsia" w:ascii="Times New Roman" w:hAnsi="Times New Roman" w:eastAsia="仿宋" w:cs="仿宋"/>
          <w:color w:val="auto"/>
          <w:sz w:val="32"/>
          <w:szCs w:val="32"/>
          <w:highlight w:val="none"/>
        </w:rPr>
      </w:pPr>
      <w:r>
        <w:rPr>
          <w:rFonts w:hint="eastAsia" w:ascii="Times New Roman" w:hAnsi="Times New Roman" w:eastAsia="仿宋" w:cs="仿宋"/>
          <w:color w:val="auto"/>
          <w:sz w:val="32"/>
          <w:szCs w:val="32"/>
          <w:highlight w:val="none"/>
        </w:rPr>
        <w:t>为推动公共数据资源开发利用，规范公共数据资源授权运营工作，释放数据要素价值，</w:t>
      </w:r>
      <w:r>
        <w:rPr>
          <w:rFonts w:hint="eastAsia" w:ascii="Times New Roman" w:hAnsi="Times New Roman" w:eastAsia="仿宋" w:cs="仿宋"/>
          <w:color w:val="auto"/>
          <w:sz w:val="32"/>
          <w:szCs w:val="32"/>
          <w:highlight w:val="none"/>
          <w:lang w:eastAsia="zh-CN"/>
        </w:rPr>
        <w:t>结合本市实际，</w:t>
      </w:r>
      <w:r>
        <w:rPr>
          <w:rFonts w:hint="eastAsia" w:ascii="Times New Roman" w:hAnsi="Times New Roman" w:eastAsia="仿宋" w:cs="仿宋"/>
          <w:color w:val="auto"/>
          <w:sz w:val="32"/>
          <w:szCs w:val="32"/>
          <w:highlight w:val="none"/>
        </w:rPr>
        <w:t>制定本实施方案。</w:t>
      </w:r>
    </w:p>
    <w:p w14:paraId="10FAD10E">
      <w:pPr>
        <w:keepNext w:val="0"/>
        <w:keepLines w:val="0"/>
        <w:pageBreakBefore w:val="0"/>
        <w:widowControl/>
        <w:numPr>
          <w:ilvl w:val="0"/>
          <w:numId w:val="0"/>
        </w:numPr>
        <w:suppressLineNumbers w:val="0"/>
        <w:kinsoku/>
        <w:wordWrap/>
        <w:overflowPunct/>
        <w:topLinePunct w:val="0"/>
        <w:autoSpaceDE/>
        <w:autoSpaceDN/>
        <w:bidi w:val="0"/>
        <w:adjustRightInd/>
        <w:snapToGrid/>
        <w:spacing w:line="576" w:lineRule="exact"/>
        <w:ind w:firstLine="640" w:firstLineChars="200"/>
        <w:jc w:val="left"/>
        <w:textAlignment w:val="auto"/>
        <w:rPr>
          <w:rFonts w:hint="eastAsia" w:ascii="黑体" w:hAnsi="黑体" w:eastAsia="黑体" w:cs="黑体"/>
          <w:color w:val="auto"/>
          <w:sz w:val="32"/>
          <w:szCs w:val="32"/>
          <w:highlight w:val="none"/>
          <w:lang w:val="en-US" w:eastAsia="zh-CN"/>
        </w:rPr>
      </w:pPr>
      <w:r>
        <w:rPr>
          <w:rStyle w:val="12"/>
          <w:rFonts w:hint="eastAsia" w:ascii="黑体" w:hAnsi="黑体" w:eastAsia="黑体" w:cs="黑体"/>
          <w:b w:val="0"/>
          <w:bCs/>
          <w:color w:val="auto"/>
          <w:sz w:val="32"/>
          <w:szCs w:val="32"/>
          <w:highlight w:val="none"/>
          <w:lang w:val="en-US" w:eastAsia="zh-CN"/>
        </w:rPr>
        <w:t>一、授权运营名称和实施机构</w:t>
      </w:r>
    </w:p>
    <w:p w14:paraId="13812D8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Fonts w:hint="eastAsia" w:ascii="Times New Roman" w:hAnsi="Times New Roman" w:eastAsia="仿宋" w:cs="仿宋"/>
          <w:color w:val="auto"/>
          <w:sz w:val="32"/>
          <w:szCs w:val="32"/>
          <w:highlight w:val="none"/>
          <w:lang w:val="en-US" w:eastAsia="zh-CN"/>
        </w:rPr>
      </w:pPr>
      <w:r>
        <w:rPr>
          <w:rFonts w:hint="eastAsia" w:ascii="楷体" w:hAnsi="楷体" w:eastAsia="楷体" w:cs="楷体"/>
          <w:b w:val="0"/>
          <w:bCs w:val="0"/>
          <w:color w:val="auto"/>
          <w:kern w:val="2"/>
          <w:sz w:val="32"/>
          <w:szCs w:val="32"/>
          <w:highlight w:val="none"/>
          <w:lang w:val="en-US" w:eastAsia="zh-CN" w:bidi="ar-SA"/>
        </w:rPr>
        <w:t>（一）授权运营名称。</w:t>
      </w:r>
      <w:r>
        <w:rPr>
          <w:rFonts w:hint="eastAsia" w:ascii="Times New Roman" w:hAnsi="Times New Roman" w:eastAsia="仿宋" w:cs="仿宋"/>
          <w:color w:val="auto"/>
          <w:sz w:val="32"/>
          <w:szCs w:val="32"/>
          <w:highlight w:val="none"/>
          <w:lang w:val="en-US" w:eastAsia="zh-CN"/>
        </w:rPr>
        <w:t>通化市公共数据资源授权运营。</w:t>
      </w:r>
    </w:p>
    <w:p w14:paraId="3D47889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Fonts w:hint="eastAsia" w:ascii="Times New Roman" w:hAnsi="Times New Roman" w:eastAsia="仿宋" w:cs="仿宋"/>
          <w:color w:val="auto"/>
          <w:sz w:val="32"/>
          <w:szCs w:val="32"/>
          <w:highlight w:val="none"/>
          <w:lang w:val="en-US" w:eastAsia="zh-CN"/>
        </w:rPr>
      </w:pPr>
      <w:r>
        <w:rPr>
          <w:rFonts w:hint="eastAsia" w:ascii="楷体" w:hAnsi="楷体" w:eastAsia="楷体" w:cs="楷体"/>
          <w:b w:val="0"/>
          <w:bCs w:val="0"/>
          <w:color w:val="auto"/>
          <w:kern w:val="2"/>
          <w:sz w:val="32"/>
          <w:szCs w:val="32"/>
          <w:highlight w:val="none"/>
          <w:lang w:val="en-US" w:eastAsia="zh-CN" w:bidi="ar-SA"/>
        </w:rPr>
        <w:t>（二）授权运营实施机构。</w:t>
      </w:r>
      <w:r>
        <w:rPr>
          <w:rFonts w:hint="eastAsia" w:ascii="Times New Roman" w:hAnsi="Times New Roman" w:eastAsia="仿宋" w:cs="仿宋"/>
          <w:color w:val="auto"/>
          <w:sz w:val="32"/>
          <w:szCs w:val="32"/>
          <w:highlight w:val="none"/>
          <w:lang w:val="en-US" w:eastAsia="zh-CN"/>
        </w:rPr>
        <w:t>根据国家、省公共数据资源授权运营有关要求，结合我市实际，确定通化市大数据中心为我市公共数据资源授权运营整体授权模式的实施机构；分领域授权或依场景授权模式的实施机构，由行业主管部门会同市政数局商定后报市政府审定。</w:t>
      </w:r>
    </w:p>
    <w:p w14:paraId="29A5D34C">
      <w:pPr>
        <w:keepNext w:val="0"/>
        <w:keepLines w:val="0"/>
        <w:pageBreakBefore w:val="0"/>
        <w:widowControl/>
        <w:numPr>
          <w:ilvl w:val="0"/>
          <w:numId w:val="0"/>
        </w:numPr>
        <w:suppressLineNumbers w:val="0"/>
        <w:kinsoku/>
        <w:wordWrap/>
        <w:overflowPunct/>
        <w:topLinePunct w:val="0"/>
        <w:autoSpaceDE/>
        <w:autoSpaceDN/>
        <w:bidi w:val="0"/>
        <w:adjustRightInd/>
        <w:snapToGrid/>
        <w:spacing w:line="576" w:lineRule="exact"/>
        <w:ind w:firstLine="640" w:firstLineChars="200"/>
        <w:jc w:val="left"/>
        <w:textAlignment w:val="auto"/>
        <w:rPr>
          <w:rStyle w:val="12"/>
          <w:rFonts w:hint="eastAsia" w:ascii="Times New Roman" w:hAnsi="Times New Roman" w:eastAsia="仿宋" w:cs="仿宋"/>
          <w:b w:val="0"/>
          <w:bCs/>
          <w:color w:val="auto"/>
          <w:sz w:val="32"/>
          <w:szCs w:val="32"/>
          <w:highlight w:val="none"/>
          <w:lang w:val="en-US" w:eastAsia="zh-CN"/>
        </w:rPr>
      </w:pPr>
      <w:r>
        <w:rPr>
          <w:rStyle w:val="12"/>
          <w:rFonts w:hint="eastAsia" w:ascii="黑体" w:hAnsi="黑体" w:eastAsia="黑体" w:cs="黑体"/>
          <w:b w:val="0"/>
          <w:bCs/>
          <w:color w:val="auto"/>
          <w:sz w:val="32"/>
          <w:szCs w:val="32"/>
          <w:highlight w:val="none"/>
          <w:lang w:val="en-US" w:eastAsia="zh-CN"/>
        </w:rPr>
        <w:t>二、必要性和可行性</w:t>
      </w:r>
    </w:p>
    <w:p w14:paraId="34756C44">
      <w:pPr>
        <w:keepNext w:val="0"/>
        <w:keepLines w:val="0"/>
        <w:pageBreakBefore w:val="0"/>
        <w:widowControl/>
        <w:suppressLineNumbers w:val="0"/>
        <w:kinsoku/>
        <w:overflowPunct/>
        <w:autoSpaceDE/>
        <w:autoSpaceDN/>
        <w:bidi w:val="0"/>
        <w:adjustRightInd/>
        <w:snapToGrid/>
        <w:spacing w:line="576" w:lineRule="exact"/>
        <w:ind w:firstLine="640" w:firstLineChars="200"/>
        <w:jc w:val="left"/>
        <w:textAlignment w:val="auto"/>
        <w:rPr>
          <w:rStyle w:val="12"/>
          <w:rFonts w:hint="eastAsia" w:ascii="Times New Roman" w:hAnsi="Times New Roman" w:eastAsia="仿宋" w:cs="仿宋"/>
          <w:b w:val="0"/>
          <w:bCs/>
          <w:color w:val="auto"/>
          <w:sz w:val="32"/>
          <w:szCs w:val="32"/>
          <w:highlight w:val="none"/>
          <w:lang w:val="en-US" w:eastAsia="zh-CN"/>
        </w:rPr>
      </w:pPr>
      <w:r>
        <w:rPr>
          <w:rFonts w:hint="eastAsia" w:ascii="楷体" w:hAnsi="楷体" w:eastAsia="楷体" w:cs="楷体"/>
          <w:b w:val="0"/>
          <w:bCs w:val="0"/>
          <w:color w:val="auto"/>
          <w:kern w:val="2"/>
          <w:sz w:val="32"/>
          <w:szCs w:val="32"/>
          <w:highlight w:val="none"/>
          <w:lang w:val="en-US" w:eastAsia="zh-CN" w:bidi="ar-SA"/>
        </w:rPr>
        <w:t>（一）授权运营的必要性。</w:t>
      </w:r>
      <w:r>
        <w:rPr>
          <w:rStyle w:val="12"/>
          <w:rFonts w:hint="eastAsia" w:ascii="Times New Roman" w:hAnsi="Times New Roman" w:eastAsia="仿宋" w:cs="仿宋"/>
          <w:b w:val="0"/>
          <w:bCs/>
          <w:color w:val="auto"/>
          <w:sz w:val="32"/>
          <w:szCs w:val="32"/>
          <w:highlight w:val="none"/>
        </w:rPr>
        <w:t>一是</w:t>
      </w:r>
      <w:r>
        <w:rPr>
          <w:rStyle w:val="12"/>
          <w:rFonts w:hint="eastAsia" w:ascii="Times New Roman" w:hAnsi="Times New Roman" w:eastAsia="仿宋" w:cs="仿宋"/>
          <w:b w:val="0"/>
          <w:bCs/>
          <w:color w:val="auto"/>
          <w:sz w:val="32"/>
          <w:szCs w:val="32"/>
          <w:highlight w:val="none"/>
          <w:lang w:eastAsia="zh-CN"/>
        </w:rPr>
        <w:t>深入贯彻党中央、国务院决策部署的必然要求。</w:t>
      </w:r>
      <w:r>
        <w:rPr>
          <w:rStyle w:val="12"/>
          <w:rFonts w:hint="eastAsia" w:ascii="Times New Roman" w:hAnsi="Times New Roman" w:eastAsia="仿宋" w:cs="仿宋"/>
          <w:b w:val="0"/>
          <w:bCs/>
          <w:color w:val="auto"/>
          <w:kern w:val="0"/>
          <w:sz w:val="32"/>
          <w:szCs w:val="32"/>
          <w:highlight w:val="none"/>
          <w:lang w:val="en-US" w:eastAsia="zh-CN" w:bidi="ar"/>
        </w:rPr>
        <w:t>《中共中央 国务院关于构建数据基础制度更好发挥数据要素作用的意见》《中共中央办公厅 国务院办公厅关于加快公共数据资源开发利用的意见》《公共数据资源授权</w:t>
      </w:r>
      <w:r>
        <w:rPr>
          <w:rStyle w:val="12"/>
          <w:rFonts w:hint="eastAsia" w:ascii="Times New Roman" w:hAnsi="Times New Roman" w:eastAsia="仿宋" w:cs="仿宋"/>
          <w:b w:val="0"/>
          <w:bCs/>
          <w:color w:val="auto"/>
          <w:sz w:val="32"/>
          <w:szCs w:val="32"/>
          <w:highlight w:val="none"/>
          <w:lang w:val="en-US" w:eastAsia="zh-CN"/>
        </w:rPr>
        <w:t>运营实施规范（试行）》等文件要求，实施公共数据确权授权机制，规范公共数据资源授权运营，加快形成权责清晰、协同合作、安全合规的授权运营格局。二是</w:t>
      </w:r>
      <w:r>
        <w:rPr>
          <w:rStyle w:val="12"/>
          <w:rFonts w:hint="eastAsia" w:ascii="Times New Roman" w:hAnsi="Times New Roman" w:eastAsia="仿宋" w:cs="仿宋"/>
          <w:b w:val="0"/>
          <w:bCs/>
          <w:color w:val="auto"/>
          <w:sz w:val="32"/>
          <w:szCs w:val="32"/>
          <w:highlight w:val="none"/>
        </w:rPr>
        <w:t>实现社会治理和公共服务优化的重要举措</w:t>
      </w:r>
      <w:r>
        <w:rPr>
          <w:rStyle w:val="12"/>
          <w:rFonts w:hint="eastAsia" w:ascii="Times New Roman" w:hAnsi="Times New Roman" w:eastAsia="仿宋" w:cs="仿宋"/>
          <w:b w:val="0"/>
          <w:bCs/>
          <w:color w:val="auto"/>
          <w:sz w:val="32"/>
          <w:szCs w:val="32"/>
          <w:highlight w:val="none"/>
          <w:lang w:val="en-US" w:eastAsia="zh-CN"/>
        </w:rPr>
        <w:t>。通过规范化授权运营，有效盘活沉睡数据资源，打通部门、政企数据流通壁垒，</w:t>
      </w:r>
      <w:r>
        <w:rPr>
          <w:rFonts w:hint="eastAsia" w:ascii="Times New Roman" w:hAnsi="Times New Roman" w:eastAsia="仿宋" w:cs="仿宋"/>
          <w:color w:val="auto"/>
          <w:sz w:val="32"/>
          <w:szCs w:val="32"/>
          <w:highlight w:val="none"/>
        </w:rPr>
        <w:t>破解公共数据资源低效利用难题，降低社会用数成本和使用风险，</w:t>
      </w:r>
      <w:r>
        <w:rPr>
          <w:rStyle w:val="12"/>
          <w:rFonts w:hint="eastAsia" w:ascii="Times New Roman" w:hAnsi="Times New Roman" w:eastAsia="仿宋" w:cs="仿宋"/>
          <w:b w:val="0"/>
          <w:bCs/>
          <w:color w:val="auto"/>
          <w:sz w:val="32"/>
          <w:szCs w:val="32"/>
          <w:highlight w:val="none"/>
          <w:lang w:val="en-US" w:eastAsia="zh-CN"/>
        </w:rPr>
        <w:t>有力支撑政务决策、民生服务和行业监管，全面提升城市精细化治理水平</w:t>
      </w:r>
      <w:r>
        <w:rPr>
          <w:rFonts w:hint="eastAsia" w:ascii="Times New Roman" w:hAnsi="Times New Roman" w:eastAsia="仿宋" w:cs="仿宋"/>
          <w:color w:val="auto"/>
          <w:sz w:val="32"/>
          <w:szCs w:val="32"/>
          <w:highlight w:val="none"/>
        </w:rPr>
        <w:t>。</w:t>
      </w:r>
      <w:r>
        <w:rPr>
          <w:rStyle w:val="12"/>
          <w:rFonts w:hint="eastAsia" w:ascii="Times New Roman" w:hAnsi="Times New Roman" w:eastAsia="仿宋" w:cs="仿宋"/>
          <w:b w:val="0"/>
          <w:bCs/>
          <w:color w:val="auto"/>
          <w:sz w:val="32"/>
          <w:szCs w:val="32"/>
          <w:highlight w:val="none"/>
          <w:lang w:val="en-US" w:eastAsia="zh-CN"/>
        </w:rPr>
        <w:t>三是</w:t>
      </w:r>
      <w:r>
        <w:rPr>
          <w:rStyle w:val="12"/>
          <w:rFonts w:hint="eastAsia" w:ascii="Times New Roman" w:hAnsi="Times New Roman" w:eastAsia="仿宋" w:cs="仿宋"/>
          <w:b w:val="0"/>
          <w:bCs/>
          <w:color w:val="auto"/>
          <w:sz w:val="32"/>
          <w:szCs w:val="32"/>
          <w:highlight w:val="none"/>
        </w:rPr>
        <w:t>提升区域竞争力、促进经济发展的</w:t>
      </w:r>
      <w:r>
        <w:rPr>
          <w:rStyle w:val="12"/>
          <w:rFonts w:hint="eastAsia" w:ascii="Times New Roman" w:hAnsi="Times New Roman" w:eastAsia="仿宋" w:cs="仿宋"/>
          <w:b w:val="0"/>
          <w:bCs/>
          <w:color w:val="auto"/>
          <w:sz w:val="32"/>
          <w:szCs w:val="32"/>
          <w:highlight w:val="none"/>
          <w:lang w:val="en-US" w:eastAsia="zh-CN"/>
        </w:rPr>
        <w:t>有效途径。开展公共数据资源授权运营，可依托本地数据资源优势，吸引数据产业链上下游企业集聚，补齐数字产业短板，丰富市场化应用场景，推动数字经济与实体经济深度融合，培育市域数字经济新增长点，为区域高质量发展注入数字动能。</w:t>
      </w:r>
    </w:p>
    <w:p w14:paraId="43DD3461">
      <w:pPr>
        <w:keepNext w:val="0"/>
        <w:keepLines w:val="0"/>
        <w:pageBreakBefore w:val="0"/>
        <w:widowControl/>
        <w:suppressLineNumbers w:val="0"/>
        <w:kinsoku/>
        <w:overflowPunct/>
        <w:autoSpaceDE/>
        <w:autoSpaceDN/>
        <w:bidi w:val="0"/>
        <w:adjustRightInd/>
        <w:snapToGrid/>
        <w:spacing w:line="576" w:lineRule="exact"/>
        <w:ind w:firstLine="640" w:firstLineChars="200"/>
        <w:jc w:val="left"/>
        <w:textAlignment w:val="auto"/>
        <w:rPr>
          <w:rStyle w:val="12"/>
          <w:rFonts w:hint="eastAsia" w:ascii="Times New Roman" w:hAnsi="Times New Roman" w:eastAsia="仿宋" w:cs="仿宋"/>
          <w:b w:val="0"/>
          <w:bCs/>
          <w:color w:val="auto"/>
          <w:sz w:val="32"/>
          <w:szCs w:val="32"/>
          <w:highlight w:val="none"/>
          <w:lang w:val="en-US" w:eastAsia="zh-CN"/>
        </w:rPr>
      </w:pPr>
      <w:r>
        <w:rPr>
          <w:rFonts w:hint="eastAsia" w:ascii="楷体" w:hAnsi="楷体" w:eastAsia="楷体" w:cs="楷体"/>
          <w:b w:val="0"/>
          <w:bCs w:val="0"/>
          <w:color w:val="auto"/>
          <w:kern w:val="2"/>
          <w:sz w:val="32"/>
          <w:szCs w:val="32"/>
          <w:highlight w:val="none"/>
          <w:lang w:val="en-US" w:eastAsia="zh-CN" w:bidi="ar-SA"/>
        </w:rPr>
        <w:t>（二）授权运营的可行性。</w:t>
      </w:r>
      <w:r>
        <w:rPr>
          <w:rStyle w:val="12"/>
          <w:rFonts w:hint="eastAsia" w:ascii="Times New Roman" w:hAnsi="Times New Roman" w:eastAsia="仿宋" w:cs="仿宋"/>
          <w:b w:val="0"/>
          <w:bCs/>
          <w:color w:val="auto"/>
          <w:sz w:val="32"/>
          <w:szCs w:val="32"/>
          <w:highlight w:val="none"/>
          <w:lang w:val="en-US" w:eastAsia="zh-CN"/>
        </w:rPr>
        <w:t>一是具备数据全生命周期管理服务基础。截至2025年底，全市已有各类公共数据系统120余个，数据资源总量超过250TB、数据总数约6亿多条，数据规模具备运营开发条件；政务数据共享机制持续优化，跨部门、跨层级数据流通通道畅通；政务云内存及存储资源配置充足，能够为数据采集、治理、传输、加工、存储、应用等全生命周期管理提供稳定可靠的基础设施支撑。二是社会需求明确。政府部门对数据驱动科学决策、精准治理的需求日益迫切，企业对数据赋能市场洞察、降本增效、创新转型的需求持续增长，公众对便捷化、智能化公共服务的需求不断升级；金融机构在信贷、中小微企业融资领域，对政务数据支撑风控模型有明确需求，市场承接主体与需求场景均已具备。三是市场规模与预期成效务实可控。公共数据已广泛赋能交通运输、金融服务、卫生健康等领域，结合通化实际可精准服务人参、医药、冰雪文旅等本地特色产业，推动公共数据与产业数据深度融合；初期可聚焦金融信用、医疗健康、文化旅游等场景进行多品类数据产品开发，通过数据运营收益反哺数据治理，降低财政持续投入压力，形成“以数养数”的可持续运营模式。四是风险防控体系可建可用。建立授权运营准入与退出机制，明确运营主体资质要求；建立数据分类分级保护制度，明确数据安全责任主体；依托先进技术实现数据全流程可追溯；定期开展安全风险评估，制定应急处置预案，可有效防范数据泄露、滥用等风险，保障授权运营安全可控。</w:t>
      </w:r>
    </w:p>
    <w:p w14:paraId="402D57C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Style w:val="12"/>
          <w:rFonts w:hint="eastAsia" w:ascii="黑体" w:hAnsi="黑体" w:eastAsia="黑体" w:cs="黑体"/>
          <w:b w:val="0"/>
          <w:bCs/>
          <w:color w:val="auto"/>
          <w:sz w:val="32"/>
          <w:szCs w:val="32"/>
          <w:highlight w:val="none"/>
          <w:lang w:eastAsia="zh-CN"/>
        </w:rPr>
      </w:pPr>
      <w:r>
        <w:rPr>
          <w:rStyle w:val="12"/>
          <w:rFonts w:hint="eastAsia" w:ascii="黑体" w:hAnsi="黑体" w:eastAsia="黑体" w:cs="黑体"/>
          <w:b w:val="0"/>
          <w:bCs/>
          <w:color w:val="auto"/>
          <w:sz w:val="32"/>
          <w:szCs w:val="32"/>
          <w:highlight w:val="none"/>
          <w:lang w:eastAsia="zh-CN"/>
        </w:rPr>
        <w:t>三</w:t>
      </w:r>
      <w:r>
        <w:rPr>
          <w:rStyle w:val="12"/>
          <w:rFonts w:hint="eastAsia" w:ascii="黑体" w:hAnsi="黑体" w:eastAsia="黑体" w:cs="黑体"/>
          <w:b w:val="0"/>
          <w:bCs/>
          <w:color w:val="auto"/>
          <w:sz w:val="32"/>
          <w:szCs w:val="32"/>
          <w:highlight w:val="none"/>
        </w:rPr>
        <w:t>、授权运营模式</w:t>
      </w:r>
      <w:r>
        <w:rPr>
          <w:rStyle w:val="12"/>
          <w:rFonts w:hint="eastAsia" w:ascii="黑体" w:hAnsi="黑体" w:eastAsia="黑体" w:cs="黑体"/>
          <w:b w:val="0"/>
          <w:bCs/>
          <w:color w:val="auto"/>
          <w:sz w:val="32"/>
          <w:szCs w:val="32"/>
          <w:highlight w:val="none"/>
          <w:lang w:eastAsia="zh-CN"/>
        </w:rPr>
        <w:t>及期限</w:t>
      </w:r>
    </w:p>
    <w:p w14:paraId="1AC1C68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Fonts w:hint="eastAsia" w:ascii="Times New Roman" w:hAnsi="Times New Roman" w:eastAsia="仿宋" w:cs="仿宋"/>
          <w:color w:val="auto"/>
          <w:sz w:val="32"/>
          <w:szCs w:val="32"/>
          <w:highlight w:val="none"/>
          <w:lang w:eastAsia="zh-CN"/>
        </w:rPr>
      </w:pPr>
      <w:r>
        <w:rPr>
          <w:rFonts w:hint="eastAsia" w:ascii="Times New Roman" w:hAnsi="Times New Roman" w:eastAsia="仿宋" w:cs="仿宋"/>
          <w:color w:val="auto"/>
          <w:sz w:val="32"/>
          <w:szCs w:val="32"/>
          <w:highlight w:val="none"/>
          <w:lang w:eastAsia="zh-CN"/>
        </w:rPr>
        <w:t>我市</w:t>
      </w:r>
      <w:r>
        <w:rPr>
          <w:rFonts w:hint="eastAsia" w:ascii="Times New Roman" w:hAnsi="Times New Roman" w:eastAsia="仿宋" w:cs="仿宋"/>
          <w:color w:val="auto"/>
          <w:sz w:val="32"/>
          <w:szCs w:val="32"/>
          <w:highlight w:val="none"/>
        </w:rPr>
        <w:t>公共数据资源授权</w:t>
      </w:r>
      <w:r>
        <w:rPr>
          <w:rFonts w:hint="eastAsia" w:ascii="Times New Roman" w:hAnsi="Times New Roman" w:eastAsia="仿宋" w:cs="仿宋"/>
          <w:color w:val="auto"/>
          <w:sz w:val="32"/>
          <w:szCs w:val="32"/>
          <w:highlight w:val="none"/>
          <w:lang w:eastAsia="zh-CN"/>
        </w:rPr>
        <w:t>运营原则上以</w:t>
      </w:r>
      <w:r>
        <w:rPr>
          <w:rFonts w:hint="eastAsia" w:ascii="Times New Roman" w:hAnsi="Times New Roman" w:eastAsia="仿宋" w:cs="仿宋"/>
          <w:color w:val="auto"/>
          <w:sz w:val="32"/>
          <w:szCs w:val="32"/>
          <w:highlight w:val="none"/>
        </w:rPr>
        <w:t>整体授权</w:t>
      </w:r>
      <w:r>
        <w:rPr>
          <w:rFonts w:hint="eastAsia" w:ascii="Times New Roman" w:hAnsi="Times New Roman" w:eastAsia="仿宋" w:cs="仿宋"/>
          <w:color w:val="auto"/>
          <w:sz w:val="32"/>
          <w:szCs w:val="32"/>
          <w:highlight w:val="none"/>
          <w:lang w:eastAsia="zh-CN"/>
        </w:rPr>
        <w:t>模式为主，确有需要的，由行业主管部门会同数据主管部门按照程序开展分领域授权或依场景授权。</w:t>
      </w:r>
      <w:r>
        <w:rPr>
          <w:rFonts w:hint="eastAsia" w:ascii="Times New Roman" w:hAnsi="Times New Roman" w:eastAsia="仿宋" w:cs="仿宋"/>
          <w:color w:val="auto"/>
          <w:sz w:val="32"/>
          <w:szCs w:val="32"/>
          <w:highlight w:val="none"/>
        </w:rPr>
        <w:t>整体授权</w:t>
      </w:r>
      <w:r>
        <w:rPr>
          <w:rFonts w:hint="eastAsia" w:ascii="Times New Roman" w:hAnsi="Times New Roman" w:eastAsia="仿宋" w:cs="仿宋"/>
          <w:color w:val="auto"/>
          <w:sz w:val="32"/>
          <w:szCs w:val="32"/>
          <w:highlight w:val="none"/>
          <w:lang w:eastAsia="zh-CN"/>
        </w:rPr>
        <w:t>模式是将授权范围内的公共数据资源统一授权给一个法人组织作为运营机构，由其履行数据要素市场一级开发职能。</w:t>
      </w:r>
    </w:p>
    <w:p w14:paraId="2217312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Fonts w:hint="eastAsia" w:ascii="Times New Roman" w:hAnsi="Times New Roman" w:eastAsia="仿宋" w:cs="仿宋"/>
          <w:color w:val="auto"/>
          <w:sz w:val="32"/>
          <w:szCs w:val="32"/>
          <w:highlight w:val="none"/>
        </w:rPr>
      </w:pPr>
      <w:r>
        <w:rPr>
          <w:rFonts w:hint="eastAsia" w:ascii="Times New Roman" w:hAnsi="Times New Roman" w:eastAsia="仿宋" w:cs="仿宋"/>
          <w:color w:val="auto"/>
          <w:sz w:val="32"/>
          <w:szCs w:val="32"/>
          <w:highlight w:val="none"/>
          <w:lang w:eastAsia="zh-CN"/>
        </w:rPr>
        <w:t>授权</w:t>
      </w:r>
      <w:r>
        <w:rPr>
          <w:rFonts w:hint="eastAsia" w:ascii="Times New Roman" w:hAnsi="Times New Roman" w:eastAsia="仿宋" w:cs="仿宋"/>
          <w:color w:val="auto"/>
          <w:sz w:val="32"/>
          <w:szCs w:val="32"/>
          <w:highlight w:val="none"/>
        </w:rPr>
        <w:t>运营期限</w:t>
      </w:r>
      <w:r>
        <w:rPr>
          <w:rFonts w:hint="eastAsia" w:ascii="Times New Roman" w:hAnsi="Times New Roman" w:eastAsia="仿宋" w:cs="仿宋"/>
          <w:color w:val="auto"/>
          <w:sz w:val="32"/>
          <w:szCs w:val="32"/>
          <w:highlight w:val="none"/>
          <w:lang w:eastAsia="zh-CN"/>
        </w:rPr>
        <w:t>为</w:t>
      </w:r>
      <w:r>
        <w:rPr>
          <w:rFonts w:hint="eastAsia" w:ascii="Times New Roman" w:hAnsi="Times New Roman" w:eastAsia="仿宋" w:cs="仿宋"/>
          <w:color w:val="auto"/>
          <w:sz w:val="32"/>
          <w:szCs w:val="32"/>
          <w:highlight w:val="none"/>
          <w:lang w:val="en-US" w:eastAsia="zh-CN"/>
        </w:rPr>
        <w:t>5</w:t>
      </w:r>
      <w:r>
        <w:rPr>
          <w:rFonts w:hint="eastAsia" w:ascii="Times New Roman" w:hAnsi="Times New Roman" w:eastAsia="仿宋" w:cs="仿宋"/>
          <w:color w:val="auto"/>
          <w:sz w:val="32"/>
          <w:szCs w:val="32"/>
          <w:highlight w:val="none"/>
        </w:rPr>
        <w:t>年。</w:t>
      </w:r>
    </w:p>
    <w:p w14:paraId="5534E6D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Style w:val="12"/>
          <w:rFonts w:hint="eastAsia" w:ascii="黑体" w:hAnsi="黑体" w:eastAsia="黑体" w:cs="黑体"/>
          <w:b w:val="0"/>
          <w:bCs/>
          <w:color w:val="auto"/>
          <w:sz w:val="32"/>
          <w:szCs w:val="32"/>
          <w:highlight w:val="none"/>
          <w:lang w:eastAsia="zh-CN"/>
        </w:rPr>
      </w:pPr>
      <w:r>
        <w:rPr>
          <w:rStyle w:val="12"/>
          <w:rFonts w:hint="eastAsia" w:ascii="黑体" w:hAnsi="黑体" w:eastAsia="黑体" w:cs="黑体"/>
          <w:b w:val="0"/>
          <w:bCs/>
          <w:color w:val="auto"/>
          <w:sz w:val="32"/>
          <w:szCs w:val="32"/>
          <w:highlight w:val="none"/>
          <w:lang w:eastAsia="zh-CN"/>
        </w:rPr>
        <w:t>四、运营机构的选择条件与程序</w:t>
      </w:r>
    </w:p>
    <w:p w14:paraId="157ED350">
      <w:pPr>
        <w:keepNext w:val="0"/>
        <w:keepLines w:val="0"/>
        <w:pageBreakBefore w:val="0"/>
        <w:numPr>
          <w:ilvl w:val="0"/>
          <w:numId w:val="0"/>
        </w:numPr>
        <w:kinsoku/>
        <w:wordWrap/>
        <w:overflowPunct/>
        <w:topLinePunct w:val="0"/>
        <w:autoSpaceDE/>
        <w:autoSpaceDN/>
        <w:bidi w:val="0"/>
        <w:adjustRightInd/>
        <w:snapToGrid/>
        <w:spacing w:line="576" w:lineRule="exact"/>
        <w:ind w:firstLine="640" w:firstLineChars="200"/>
        <w:textAlignment w:val="auto"/>
        <w:outlineLvl w:val="1"/>
        <w:rPr>
          <w:rFonts w:hint="eastAsia" w:ascii="Times New Roman" w:hAnsi="Times New Roman" w:eastAsia="仿宋" w:cs="仿宋"/>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（一）运营机构基本条件</w:t>
      </w:r>
    </w:p>
    <w:p w14:paraId="3CF3DFA7">
      <w:pPr>
        <w:keepNext w:val="0"/>
        <w:keepLines w:val="0"/>
        <w:pageBreakBefore w:val="0"/>
        <w:widowControl/>
        <w:numPr>
          <w:ilvl w:val="0"/>
          <w:numId w:val="0"/>
        </w:numPr>
        <w:suppressLineNumbers w:val="0"/>
        <w:kinsoku/>
        <w:overflowPunct/>
        <w:autoSpaceDE/>
        <w:autoSpaceDN/>
        <w:bidi w:val="0"/>
        <w:adjustRightInd/>
        <w:snapToGrid/>
        <w:spacing w:line="576" w:lineRule="exact"/>
        <w:ind w:firstLine="640" w:firstLineChars="200"/>
        <w:jc w:val="left"/>
        <w:textAlignment w:val="auto"/>
        <w:rPr>
          <w:rFonts w:hint="eastAsia" w:ascii="Times New Roman" w:hAnsi="Times New Roman" w:eastAsia="仿宋" w:cs="仿宋"/>
          <w:color w:val="auto"/>
          <w:kern w:val="0"/>
          <w:sz w:val="32"/>
          <w:szCs w:val="32"/>
          <w:highlight w:val="none"/>
          <w:lang w:val="en-US" w:eastAsia="zh-CN" w:bidi="ar"/>
        </w:rPr>
      </w:pPr>
      <w:r>
        <w:rPr>
          <w:rFonts w:hint="eastAsia" w:ascii="Times New Roman" w:hAnsi="Times New Roman" w:eastAsia="仿宋" w:cs="仿宋"/>
          <w:color w:val="auto"/>
          <w:kern w:val="0"/>
          <w:sz w:val="32"/>
          <w:szCs w:val="32"/>
          <w:highlight w:val="none"/>
          <w:lang w:val="en-US" w:eastAsia="zh-CN" w:bidi="ar"/>
        </w:rPr>
        <w:t>1.经营状况和信用状况良好，具备良好的社会公信力，无重大违法记录，未被列入失信被执行人名单、重大税收违法案件当事人名单、严重失信名单等；</w:t>
      </w:r>
    </w:p>
    <w:p w14:paraId="6BD5600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Fonts w:hint="eastAsia" w:ascii="Times New Roman" w:hAnsi="Times New Roman" w:eastAsia="仿宋" w:cs="仿宋"/>
          <w:color w:val="auto"/>
          <w:kern w:val="0"/>
          <w:sz w:val="32"/>
          <w:szCs w:val="32"/>
          <w:highlight w:val="none"/>
          <w:lang w:val="en-US" w:eastAsia="zh-CN" w:bidi="ar"/>
        </w:rPr>
      </w:pPr>
      <w:r>
        <w:rPr>
          <w:rFonts w:hint="eastAsia" w:ascii="Times New Roman" w:hAnsi="Times New Roman" w:eastAsia="仿宋" w:cs="仿宋"/>
          <w:color w:val="auto"/>
          <w:kern w:val="0"/>
          <w:sz w:val="32"/>
          <w:szCs w:val="32"/>
          <w:highlight w:val="none"/>
          <w:lang w:val="en-US" w:eastAsia="zh-CN" w:bidi="ar"/>
        </w:rPr>
        <w:t>2.具备数据安全保障、风险监测、应急处置能力；</w:t>
      </w:r>
    </w:p>
    <w:p w14:paraId="77FD6C6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Fonts w:hint="eastAsia" w:ascii="Times New Roman" w:hAnsi="Times New Roman" w:eastAsia="仿宋" w:cs="仿宋"/>
          <w:color w:val="auto"/>
          <w:sz w:val="32"/>
          <w:szCs w:val="32"/>
          <w:highlight w:val="none"/>
          <w:lang w:eastAsia="zh-CN"/>
        </w:rPr>
      </w:pPr>
      <w:r>
        <w:rPr>
          <w:rFonts w:hint="eastAsia" w:ascii="Times New Roman" w:hAnsi="Times New Roman" w:eastAsia="仿宋" w:cs="仿宋"/>
          <w:color w:val="auto"/>
          <w:sz w:val="32"/>
          <w:szCs w:val="32"/>
          <w:highlight w:val="none"/>
          <w:lang w:val="en-US" w:eastAsia="zh-CN"/>
        </w:rPr>
        <w:t>3.</w:t>
      </w:r>
      <w:r>
        <w:rPr>
          <w:rFonts w:hint="eastAsia" w:ascii="Times New Roman" w:hAnsi="Times New Roman" w:eastAsia="仿宋" w:cs="仿宋"/>
          <w:color w:val="auto"/>
          <w:sz w:val="32"/>
          <w:szCs w:val="32"/>
          <w:highlight w:val="none"/>
        </w:rPr>
        <w:t>具备公共数据资源运营生态健康发展服务能力</w:t>
      </w:r>
      <w:r>
        <w:rPr>
          <w:rFonts w:hint="eastAsia" w:ascii="Times New Roman" w:hAnsi="Times New Roman" w:eastAsia="仿宋" w:cs="仿宋"/>
          <w:color w:val="auto"/>
          <w:sz w:val="32"/>
          <w:szCs w:val="32"/>
          <w:highlight w:val="none"/>
          <w:lang w:eastAsia="zh-CN"/>
        </w:rPr>
        <w:t>；</w:t>
      </w:r>
    </w:p>
    <w:p w14:paraId="7FBC55B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Fonts w:hint="eastAsia" w:ascii="Times New Roman" w:hAnsi="Times New Roman" w:eastAsia="仿宋" w:cs="仿宋"/>
          <w:color w:val="auto"/>
          <w:sz w:val="32"/>
          <w:szCs w:val="32"/>
          <w:highlight w:val="none"/>
          <w:lang w:eastAsia="zh-CN"/>
        </w:rPr>
      </w:pPr>
      <w:r>
        <w:rPr>
          <w:rFonts w:hint="eastAsia" w:ascii="Times New Roman" w:hAnsi="Times New Roman" w:eastAsia="仿宋" w:cs="仿宋"/>
          <w:color w:val="auto"/>
          <w:sz w:val="32"/>
          <w:szCs w:val="32"/>
          <w:highlight w:val="none"/>
          <w:lang w:val="en-US" w:eastAsia="zh-CN"/>
        </w:rPr>
        <w:t>4.</w:t>
      </w:r>
      <w:r>
        <w:rPr>
          <w:rFonts w:hint="eastAsia" w:ascii="Times New Roman" w:hAnsi="Times New Roman" w:eastAsia="仿宋" w:cs="仿宋"/>
          <w:color w:val="auto"/>
          <w:sz w:val="32"/>
          <w:szCs w:val="32"/>
          <w:highlight w:val="none"/>
        </w:rPr>
        <w:t>具备满足公共数据资源授权运营所需的办公条件</w:t>
      </w:r>
      <w:r>
        <w:rPr>
          <w:rFonts w:hint="eastAsia" w:ascii="Times New Roman" w:hAnsi="Times New Roman" w:eastAsia="仿宋" w:cs="仿宋"/>
          <w:color w:val="auto"/>
          <w:sz w:val="32"/>
          <w:szCs w:val="32"/>
          <w:highlight w:val="none"/>
          <w:lang w:eastAsia="zh-CN"/>
        </w:rPr>
        <w:t>、</w:t>
      </w:r>
      <w:r>
        <w:rPr>
          <w:rFonts w:hint="eastAsia" w:ascii="Times New Roman" w:hAnsi="Times New Roman" w:eastAsia="仿宋" w:cs="仿宋"/>
          <w:color w:val="auto"/>
          <w:sz w:val="32"/>
          <w:szCs w:val="32"/>
          <w:highlight w:val="none"/>
        </w:rPr>
        <w:t>专业团队和技术能力，包括但不限于技术</w:t>
      </w:r>
      <w:r>
        <w:rPr>
          <w:rFonts w:hint="eastAsia" w:ascii="Times New Roman" w:hAnsi="Times New Roman" w:eastAsia="仿宋" w:cs="仿宋"/>
          <w:color w:val="auto"/>
          <w:sz w:val="32"/>
          <w:szCs w:val="32"/>
          <w:highlight w:val="none"/>
          <w:lang w:eastAsia="zh-CN"/>
        </w:rPr>
        <w:t>、</w:t>
      </w:r>
      <w:r>
        <w:rPr>
          <w:rFonts w:hint="eastAsia" w:ascii="Times New Roman" w:hAnsi="Times New Roman" w:eastAsia="仿宋" w:cs="仿宋"/>
          <w:color w:val="auto"/>
          <w:sz w:val="32"/>
          <w:szCs w:val="32"/>
          <w:highlight w:val="none"/>
        </w:rPr>
        <w:t>运营</w:t>
      </w:r>
      <w:r>
        <w:rPr>
          <w:rFonts w:hint="eastAsia" w:ascii="Times New Roman" w:hAnsi="Times New Roman" w:eastAsia="仿宋" w:cs="仿宋"/>
          <w:color w:val="auto"/>
          <w:sz w:val="32"/>
          <w:szCs w:val="32"/>
          <w:highlight w:val="none"/>
          <w:lang w:eastAsia="zh-CN"/>
        </w:rPr>
        <w:t>、</w:t>
      </w:r>
      <w:r>
        <w:rPr>
          <w:rFonts w:hint="eastAsia" w:ascii="Times New Roman" w:hAnsi="Times New Roman" w:eastAsia="仿宋" w:cs="仿宋"/>
          <w:color w:val="auto"/>
          <w:sz w:val="32"/>
          <w:szCs w:val="32"/>
          <w:highlight w:val="none"/>
        </w:rPr>
        <w:t>管理人员等</w:t>
      </w:r>
      <w:r>
        <w:rPr>
          <w:rFonts w:hint="eastAsia" w:ascii="Times New Roman" w:hAnsi="Times New Roman" w:eastAsia="仿宋" w:cs="仿宋"/>
          <w:color w:val="auto"/>
          <w:sz w:val="32"/>
          <w:szCs w:val="32"/>
          <w:highlight w:val="none"/>
          <w:lang w:eastAsia="zh-CN"/>
        </w:rPr>
        <w:t>；</w:t>
      </w:r>
    </w:p>
    <w:p w14:paraId="5A799ED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Fonts w:hint="eastAsia" w:ascii="Times New Roman" w:hAnsi="Times New Roman" w:eastAsia="仿宋" w:cs="仿宋"/>
          <w:color w:val="auto"/>
          <w:sz w:val="32"/>
          <w:szCs w:val="32"/>
          <w:highlight w:val="none"/>
          <w:lang w:eastAsia="zh-CN"/>
        </w:rPr>
      </w:pPr>
      <w:r>
        <w:rPr>
          <w:rFonts w:hint="eastAsia" w:ascii="Times New Roman" w:hAnsi="Times New Roman" w:eastAsia="仿宋" w:cs="仿宋"/>
          <w:color w:val="auto"/>
          <w:sz w:val="32"/>
          <w:szCs w:val="32"/>
          <w:highlight w:val="none"/>
          <w:lang w:val="en-US" w:eastAsia="zh-CN"/>
        </w:rPr>
        <w:t>5.</w:t>
      </w:r>
      <w:r>
        <w:rPr>
          <w:rFonts w:hint="eastAsia" w:ascii="Times New Roman" w:hAnsi="Times New Roman" w:eastAsia="仿宋" w:cs="仿宋"/>
          <w:color w:val="auto"/>
          <w:sz w:val="32"/>
          <w:szCs w:val="32"/>
          <w:highlight w:val="none"/>
        </w:rPr>
        <w:t>具有明确的数据安全负责人和管理部门，建立公共数据资源授权运营内部管理和安全保障制度；具备接入政务网络的环境和条件，具备对公共数据资源进行获取</w:t>
      </w:r>
      <w:r>
        <w:rPr>
          <w:rFonts w:hint="eastAsia" w:ascii="Times New Roman" w:hAnsi="Times New Roman" w:eastAsia="仿宋" w:cs="仿宋"/>
          <w:color w:val="auto"/>
          <w:sz w:val="32"/>
          <w:szCs w:val="32"/>
          <w:highlight w:val="none"/>
          <w:lang w:eastAsia="zh-CN"/>
        </w:rPr>
        <w:t>、</w:t>
      </w:r>
      <w:r>
        <w:rPr>
          <w:rFonts w:hint="eastAsia" w:ascii="Times New Roman" w:hAnsi="Times New Roman" w:eastAsia="仿宋" w:cs="仿宋"/>
          <w:color w:val="auto"/>
          <w:sz w:val="32"/>
          <w:szCs w:val="32"/>
          <w:highlight w:val="none"/>
        </w:rPr>
        <w:t>管理和应用的软硬件环境；具备及时响应政府监管要求所需的技术管理能力；公共数据安全体系评估结果无高风险项</w:t>
      </w:r>
      <w:r>
        <w:rPr>
          <w:rFonts w:hint="eastAsia" w:ascii="Times New Roman" w:hAnsi="Times New Roman" w:eastAsia="仿宋" w:cs="仿宋"/>
          <w:color w:val="auto"/>
          <w:sz w:val="32"/>
          <w:szCs w:val="32"/>
          <w:highlight w:val="none"/>
          <w:lang w:eastAsia="zh-CN"/>
        </w:rPr>
        <w:t>；</w:t>
      </w:r>
    </w:p>
    <w:p w14:paraId="568D3E0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Style w:val="12"/>
          <w:rFonts w:hint="eastAsia" w:ascii="Times New Roman" w:hAnsi="Times New Roman" w:eastAsia="仿宋" w:cs="仿宋"/>
          <w:b w:val="0"/>
          <w:bCs/>
          <w:color w:val="auto"/>
          <w:sz w:val="32"/>
          <w:szCs w:val="32"/>
          <w:highlight w:val="none"/>
          <w:lang w:eastAsia="zh-CN"/>
        </w:rPr>
      </w:pPr>
      <w:r>
        <w:rPr>
          <w:rFonts w:hint="eastAsia" w:ascii="Times New Roman" w:hAnsi="Times New Roman" w:eastAsia="仿宋" w:cs="仿宋"/>
          <w:color w:val="auto"/>
          <w:sz w:val="32"/>
          <w:szCs w:val="32"/>
          <w:highlight w:val="none"/>
          <w:lang w:val="en-US" w:eastAsia="zh-CN"/>
        </w:rPr>
        <w:t>6.</w:t>
      </w:r>
      <w:r>
        <w:rPr>
          <w:rFonts w:hint="eastAsia" w:ascii="Times New Roman" w:hAnsi="Times New Roman" w:eastAsia="仿宋" w:cs="仿宋"/>
          <w:color w:val="auto"/>
          <w:kern w:val="2"/>
          <w:sz w:val="32"/>
          <w:szCs w:val="32"/>
          <w:highlight w:val="none"/>
          <w:lang w:val="en-US" w:eastAsia="zh-CN" w:bidi="ar-SA"/>
        </w:rPr>
        <w:t>符合国家、省和本市对运营机构的其他相关要求。</w:t>
      </w:r>
    </w:p>
    <w:p w14:paraId="74977F1D">
      <w:pPr>
        <w:keepNext w:val="0"/>
        <w:keepLines w:val="0"/>
        <w:pageBreakBefore w:val="0"/>
        <w:numPr>
          <w:ilvl w:val="0"/>
          <w:numId w:val="0"/>
        </w:numPr>
        <w:kinsoku/>
        <w:wordWrap/>
        <w:overflowPunct/>
        <w:topLinePunct w:val="0"/>
        <w:autoSpaceDE/>
        <w:autoSpaceDN/>
        <w:bidi w:val="0"/>
        <w:adjustRightInd/>
        <w:snapToGrid/>
        <w:spacing w:line="576" w:lineRule="exact"/>
        <w:ind w:firstLine="640" w:firstLineChars="200"/>
        <w:textAlignment w:val="auto"/>
        <w:outlineLvl w:val="1"/>
        <w:rPr>
          <w:rFonts w:hint="eastAsia" w:ascii="楷体" w:hAnsi="楷体" w:eastAsia="楷体" w:cs="楷体"/>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（二）选择程序</w:t>
      </w:r>
    </w:p>
    <w:p w14:paraId="36B401C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Fonts w:hint="eastAsia" w:ascii="Times New Roman" w:hAnsi="Times New Roman" w:eastAsia="仿宋" w:cs="仿宋"/>
          <w:b w:val="0"/>
          <w:bCs w:val="0"/>
          <w:color w:val="auto"/>
          <w:sz w:val="32"/>
          <w:szCs w:val="32"/>
          <w:highlight w:val="none"/>
        </w:rPr>
      </w:pPr>
      <w:r>
        <w:rPr>
          <w:rStyle w:val="12"/>
          <w:rFonts w:hint="eastAsia" w:ascii="Times New Roman" w:hAnsi="Times New Roman" w:eastAsia="仿宋" w:cs="仿宋"/>
          <w:b w:val="0"/>
          <w:bCs/>
          <w:color w:val="auto"/>
          <w:sz w:val="32"/>
          <w:szCs w:val="32"/>
          <w:highlight w:val="none"/>
          <w:lang w:val="en-US" w:eastAsia="zh-CN"/>
        </w:rPr>
        <w:t>1.</w:t>
      </w:r>
      <w:r>
        <w:rPr>
          <w:rStyle w:val="12"/>
          <w:rFonts w:hint="eastAsia" w:ascii="Times New Roman" w:hAnsi="Times New Roman" w:eastAsia="仿宋" w:cs="仿宋"/>
          <w:b w:val="0"/>
          <w:bCs/>
          <w:color w:val="auto"/>
          <w:sz w:val="32"/>
          <w:szCs w:val="32"/>
          <w:highlight w:val="none"/>
        </w:rPr>
        <w:t>确定主体</w:t>
      </w:r>
      <w:r>
        <w:rPr>
          <w:rStyle w:val="12"/>
          <w:rFonts w:hint="eastAsia" w:ascii="Times New Roman" w:hAnsi="Times New Roman" w:eastAsia="仿宋" w:cs="仿宋"/>
          <w:b w:val="0"/>
          <w:bCs/>
          <w:color w:val="auto"/>
          <w:sz w:val="32"/>
          <w:szCs w:val="32"/>
          <w:highlight w:val="none"/>
          <w:lang w:eastAsia="zh-CN"/>
        </w:rPr>
        <w:t>。</w:t>
      </w:r>
      <w:r>
        <w:rPr>
          <w:rFonts w:hint="eastAsia" w:ascii="Times New Roman" w:hAnsi="Times New Roman" w:eastAsia="仿宋" w:cs="仿宋"/>
          <w:b w:val="0"/>
          <w:bCs w:val="0"/>
          <w:color w:val="auto"/>
          <w:sz w:val="32"/>
          <w:szCs w:val="32"/>
          <w:highlight w:val="none"/>
        </w:rPr>
        <w:t>实施机构</w:t>
      </w:r>
      <w:r>
        <w:rPr>
          <w:rFonts w:hint="eastAsia" w:ascii="Times New Roman" w:hAnsi="Times New Roman" w:eastAsia="仿宋" w:cs="仿宋"/>
          <w:b w:val="0"/>
          <w:bCs w:val="0"/>
          <w:color w:val="auto"/>
          <w:sz w:val="32"/>
          <w:szCs w:val="32"/>
          <w:highlight w:val="none"/>
          <w:lang w:eastAsia="zh-CN"/>
        </w:rPr>
        <w:t>委托代理机构</w:t>
      </w:r>
      <w:r>
        <w:rPr>
          <w:rFonts w:hint="eastAsia" w:ascii="Times New Roman" w:hAnsi="Times New Roman" w:eastAsia="仿宋" w:cs="仿宋"/>
          <w:b w:val="0"/>
          <w:bCs w:val="0"/>
          <w:color w:val="000000"/>
          <w:sz w:val="32"/>
          <w:szCs w:val="32"/>
          <w:highlight w:val="none"/>
          <w:lang w:eastAsia="zh-CN"/>
        </w:rPr>
        <w:t>以公开招标、邀请招标、谈判等公平竞争的</w:t>
      </w:r>
      <w:r>
        <w:rPr>
          <w:rFonts w:hint="eastAsia" w:ascii="Times New Roman" w:hAnsi="Times New Roman" w:eastAsia="仿宋" w:cs="仿宋"/>
          <w:b w:val="0"/>
          <w:bCs w:val="0"/>
          <w:color w:val="000000"/>
          <w:sz w:val="32"/>
          <w:szCs w:val="32"/>
          <w:highlight w:val="none"/>
        </w:rPr>
        <w:t>方式</w:t>
      </w:r>
      <w:r>
        <w:rPr>
          <w:rFonts w:hint="eastAsia" w:ascii="Times New Roman" w:hAnsi="Times New Roman" w:eastAsia="仿宋" w:cs="仿宋"/>
          <w:b w:val="0"/>
          <w:bCs w:val="0"/>
          <w:color w:val="000000"/>
          <w:sz w:val="32"/>
          <w:szCs w:val="32"/>
          <w:highlight w:val="none"/>
          <w:lang w:eastAsia="zh-CN"/>
        </w:rPr>
        <w:t>选择</w:t>
      </w:r>
      <w:r>
        <w:rPr>
          <w:rFonts w:hint="eastAsia" w:ascii="Times New Roman" w:hAnsi="Times New Roman" w:eastAsia="仿宋" w:cs="仿宋"/>
          <w:b w:val="0"/>
          <w:bCs w:val="0"/>
          <w:color w:val="000000"/>
          <w:sz w:val="32"/>
          <w:szCs w:val="32"/>
          <w:highlight w:val="none"/>
        </w:rPr>
        <w:t>运营机构</w:t>
      </w:r>
      <w:r>
        <w:rPr>
          <w:rFonts w:hint="eastAsia" w:ascii="Times New Roman" w:hAnsi="Times New Roman" w:eastAsia="仿宋" w:cs="仿宋"/>
          <w:b w:val="0"/>
          <w:bCs w:val="0"/>
          <w:color w:val="000000"/>
          <w:sz w:val="32"/>
          <w:szCs w:val="32"/>
          <w:highlight w:val="none"/>
          <w:lang w:eastAsia="zh-CN"/>
        </w:rPr>
        <w:t>，并</w:t>
      </w:r>
      <w:r>
        <w:rPr>
          <w:rFonts w:hint="eastAsia" w:ascii="Times New Roman" w:hAnsi="Times New Roman" w:eastAsia="仿宋" w:cs="仿宋"/>
          <w:b w:val="0"/>
          <w:bCs w:val="0"/>
          <w:color w:val="000000"/>
          <w:sz w:val="32"/>
          <w:szCs w:val="32"/>
          <w:highlight w:val="none"/>
        </w:rPr>
        <w:t>及时向社会公开</w:t>
      </w:r>
      <w:r>
        <w:rPr>
          <w:rFonts w:hint="eastAsia" w:ascii="Times New Roman" w:hAnsi="Times New Roman" w:eastAsia="仿宋" w:cs="仿宋"/>
          <w:b w:val="0"/>
          <w:bCs w:val="0"/>
          <w:color w:val="000000"/>
          <w:sz w:val="32"/>
          <w:szCs w:val="32"/>
          <w:highlight w:val="none"/>
          <w:lang w:eastAsia="zh-CN"/>
        </w:rPr>
        <w:t>拟</w:t>
      </w:r>
      <w:r>
        <w:rPr>
          <w:rFonts w:hint="eastAsia" w:ascii="Times New Roman" w:hAnsi="Times New Roman" w:eastAsia="仿宋" w:cs="仿宋"/>
          <w:b w:val="0"/>
          <w:bCs w:val="0"/>
          <w:color w:val="000000"/>
          <w:sz w:val="32"/>
          <w:szCs w:val="32"/>
          <w:highlight w:val="none"/>
        </w:rPr>
        <w:t>确</w:t>
      </w:r>
      <w:r>
        <w:rPr>
          <w:rFonts w:hint="eastAsia" w:ascii="Times New Roman" w:hAnsi="Times New Roman" w:eastAsia="仿宋" w:cs="仿宋"/>
          <w:b w:val="0"/>
          <w:bCs w:val="0"/>
          <w:color w:val="auto"/>
          <w:sz w:val="32"/>
          <w:szCs w:val="32"/>
          <w:highlight w:val="none"/>
        </w:rPr>
        <w:t>定的运营机构相关信息，对异议及时答复和处理。</w:t>
      </w:r>
    </w:p>
    <w:p w14:paraId="216E920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Style w:val="12"/>
          <w:rFonts w:hint="eastAsia" w:ascii="Times New Roman" w:hAnsi="Times New Roman" w:eastAsia="仿宋" w:cs="仿宋"/>
          <w:b w:val="0"/>
          <w:bCs w:val="0"/>
          <w:color w:val="auto"/>
          <w:sz w:val="32"/>
          <w:szCs w:val="32"/>
          <w:highlight w:val="none"/>
          <w:lang w:eastAsia="zh-CN"/>
        </w:rPr>
      </w:pPr>
      <w:r>
        <w:rPr>
          <w:rStyle w:val="12"/>
          <w:rFonts w:hint="eastAsia" w:ascii="Times New Roman" w:hAnsi="Times New Roman" w:eastAsia="仿宋" w:cs="仿宋"/>
          <w:b w:val="0"/>
          <w:bCs w:val="0"/>
          <w:color w:val="auto"/>
          <w:sz w:val="32"/>
          <w:szCs w:val="32"/>
          <w:highlight w:val="none"/>
          <w:lang w:val="en-US" w:eastAsia="zh-CN"/>
        </w:rPr>
        <w:t>2.</w:t>
      </w:r>
      <w:r>
        <w:rPr>
          <w:rStyle w:val="12"/>
          <w:rFonts w:hint="eastAsia" w:ascii="Times New Roman" w:hAnsi="Times New Roman" w:eastAsia="仿宋" w:cs="仿宋"/>
          <w:b w:val="0"/>
          <w:bCs w:val="0"/>
          <w:color w:val="auto"/>
          <w:sz w:val="32"/>
          <w:szCs w:val="32"/>
          <w:highlight w:val="none"/>
        </w:rPr>
        <w:t>协议签订</w:t>
      </w:r>
      <w:r>
        <w:rPr>
          <w:rStyle w:val="12"/>
          <w:rFonts w:hint="eastAsia" w:ascii="Times New Roman" w:hAnsi="Times New Roman" w:eastAsia="仿宋" w:cs="仿宋"/>
          <w:b w:val="0"/>
          <w:bCs w:val="0"/>
          <w:color w:val="auto"/>
          <w:sz w:val="32"/>
          <w:szCs w:val="32"/>
          <w:highlight w:val="none"/>
          <w:lang w:eastAsia="zh-CN"/>
        </w:rPr>
        <w:t>与备案。公示无异议后，实施机构独立或会同有关业务部门与依法选定的运营机构签订公共数据资源授权运营协议。授权运营协议内容应充分征求各方意见，委托第三方机构开展合规评估，</w:t>
      </w:r>
      <w:r>
        <w:rPr>
          <w:rStyle w:val="12"/>
          <w:rFonts w:hint="eastAsia" w:ascii="Times New Roman" w:hAnsi="Times New Roman" w:eastAsia="仿宋" w:cs="仿宋"/>
          <w:b w:val="0"/>
          <w:bCs w:val="0"/>
          <w:color w:val="auto"/>
          <w:sz w:val="32"/>
          <w:szCs w:val="32"/>
          <w:highlight w:val="none"/>
          <w:lang w:val="en-US" w:eastAsia="zh-CN"/>
        </w:rPr>
        <w:t>经实施机构“三重一大”决策机制审议通过，报请市政数局同意后签订。</w:t>
      </w:r>
      <w:r>
        <w:rPr>
          <w:rStyle w:val="12"/>
          <w:rFonts w:hint="eastAsia" w:ascii="Times New Roman" w:hAnsi="Times New Roman" w:eastAsia="仿宋" w:cs="仿宋"/>
          <w:b w:val="0"/>
          <w:bCs w:val="0"/>
          <w:color w:val="auto"/>
          <w:sz w:val="32"/>
          <w:szCs w:val="32"/>
          <w:highlight w:val="none"/>
          <w:lang w:eastAsia="zh-CN"/>
        </w:rPr>
        <w:t>协议签订之日起1个月内，报送省政数局备案。</w:t>
      </w:r>
    </w:p>
    <w:p w14:paraId="3B80AA5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Style w:val="12"/>
          <w:rFonts w:hint="eastAsia" w:ascii="黑体" w:hAnsi="黑体" w:eastAsia="黑体" w:cs="黑体"/>
          <w:b w:val="0"/>
          <w:bCs/>
          <w:color w:val="auto"/>
          <w:sz w:val="32"/>
          <w:szCs w:val="32"/>
          <w:highlight w:val="none"/>
          <w:lang w:eastAsia="zh-CN"/>
        </w:rPr>
      </w:pPr>
      <w:r>
        <w:rPr>
          <w:rStyle w:val="12"/>
          <w:rFonts w:hint="eastAsia" w:ascii="黑体" w:hAnsi="黑体" w:eastAsia="黑体" w:cs="黑体"/>
          <w:b w:val="0"/>
          <w:bCs/>
          <w:color w:val="auto"/>
          <w:sz w:val="32"/>
          <w:szCs w:val="32"/>
          <w:highlight w:val="none"/>
          <w:lang w:eastAsia="zh-CN"/>
        </w:rPr>
        <w:t>五、授权运营的数据资源范围及目录</w:t>
      </w:r>
    </w:p>
    <w:p w14:paraId="54E4684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Fonts w:hint="eastAsia" w:ascii="Times New Roman" w:hAnsi="Times New Roman" w:eastAsia="仿宋" w:cs="仿宋"/>
          <w:b w:val="0"/>
          <w:bCs w:val="0"/>
          <w:color w:val="auto"/>
          <w:sz w:val="32"/>
          <w:szCs w:val="32"/>
          <w:highlight w:val="none"/>
          <w:lang w:eastAsia="zh-CN"/>
        </w:rPr>
      </w:pPr>
      <w:r>
        <w:rPr>
          <w:rFonts w:hint="eastAsia" w:ascii="Times New Roman" w:hAnsi="Times New Roman" w:eastAsia="仿宋" w:cs="仿宋"/>
          <w:b w:val="0"/>
          <w:bCs w:val="0"/>
          <w:color w:val="auto"/>
          <w:sz w:val="32"/>
          <w:szCs w:val="32"/>
          <w:highlight w:val="none"/>
          <w:lang w:eastAsia="zh-CN"/>
        </w:rPr>
        <w:t>授权运营的公共数据资源范围为市级政府机关、企事业单位</w:t>
      </w:r>
      <w:r>
        <w:rPr>
          <w:rFonts w:hint="eastAsia" w:ascii="Times New Roman" w:hAnsi="Times New Roman" w:eastAsia="仿宋" w:cs="仿宋"/>
          <w:b w:val="0"/>
          <w:bCs w:val="0"/>
          <w:color w:val="auto"/>
          <w:sz w:val="32"/>
          <w:szCs w:val="32"/>
          <w:highlight w:val="none"/>
        </w:rPr>
        <w:t>依法</w:t>
      </w:r>
      <w:r>
        <w:rPr>
          <w:rFonts w:hint="eastAsia" w:ascii="Times New Roman" w:hAnsi="Times New Roman" w:eastAsia="仿宋" w:cs="仿宋"/>
          <w:b w:val="0"/>
          <w:bCs w:val="0"/>
          <w:color w:val="auto"/>
          <w:sz w:val="32"/>
          <w:szCs w:val="32"/>
          <w:highlight w:val="none"/>
          <w:lang w:eastAsia="zh-CN"/>
        </w:rPr>
        <w:t>履职或提供公共服务过程中产生的所有具有利用价值的数据集合，涉密数据和有明确要求不得授权运营的除外。</w:t>
      </w:r>
    </w:p>
    <w:p w14:paraId="0F56E0A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Fonts w:hint="eastAsia" w:ascii="Times New Roman" w:hAnsi="Times New Roman" w:eastAsia="仿宋" w:cs="仿宋"/>
          <w:b w:val="0"/>
          <w:bCs w:val="0"/>
          <w:color w:val="auto"/>
          <w:sz w:val="32"/>
          <w:szCs w:val="32"/>
          <w:highlight w:val="none"/>
          <w:lang w:eastAsia="zh-CN"/>
        </w:rPr>
      </w:pPr>
      <w:r>
        <w:rPr>
          <w:rFonts w:hint="eastAsia" w:ascii="Times New Roman" w:hAnsi="Times New Roman" w:eastAsia="仿宋" w:cs="仿宋"/>
          <w:b w:val="0"/>
          <w:bCs w:val="0"/>
          <w:color w:val="auto"/>
          <w:sz w:val="32"/>
          <w:szCs w:val="32"/>
          <w:highlight w:val="none"/>
          <w:lang w:eastAsia="zh-CN"/>
        </w:rPr>
        <w:t>公共数据资源采用整体授权分批推进的方式，实施机构、运营机构会同数源单位结合实际需要，动态调整和更新数据资源目录、更新频率等内容，并确定数据提供标准和质量。详见</w:t>
      </w:r>
      <w:r>
        <w:rPr>
          <w:rFonts w:hint="eastAsia" w:ascii="Times New Roman" w:hAnsi="Times New Roman" w:eastAsia="仿宋" w:cs="仿宋"/>
          <w:b w:val="0"/>
          <w:bCs w:val="0"/>
          <w:color w:val="auto"/>
          <w:sz w:val="32"/>
          <w:szCs w:val="32"/>
          <w:highlight w:val="none"/>
          <w:lang w:val="en-US" w:eastAsia="zh-CN"/>
        </w:rPr>
        <w:t>《通化市公共数据资源授权运营资源目录（第一批）》（</w:t>
      </w:r>
      <w:r>
        <w:rPr>
          <w:rFonts w:hint="eastAsia" w:ascii="Times New Roman" w:hAnsi="Times New Roman" w:eastAsia="仿宋" w:cs="仿宋"/>
          <w:b w:val="0"/>
          <w:bCs w:val="0"/>
          <w:color w:val="auto"/>
          <w:sz w:val="32"/>
          <w:szCs w:val="32"/>
          <w:highlight w:val="none"/>
          <w:lang w:eastAsia="zh-CN"/>
        </w:rPr>
        <w:t>附件1</w:t>
      </w:r>
      <w:r>
        <w:rPr>
          <w:rFonts w:hint="eastAsia" w:ascii="Times New Roman" w:hAnsi="Times New Roman" w:eastAsia="仿宋" w:cs="仿宋"/>
          <w:b w:val="0"/>
          <w:bCs w:val="0"/>
          <w:color w:val="auto"/>
          <w:sz w:val="32"/>
          <w:szCs w:val="32"/>
          <w:highlight w:val="none"/>
          <w:lang w:val="en-US" w:eastAsia="zh-CN"/>
        </w:rPr>
        <w:t>）。</w:t>
      </w:r>
    </w:p>
    <w:p w14:paraId="726F23B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Style w:val="12"/>
          <w:rFonts w:hint="eastAsia" w:ascii="黑体" w:hAnsi="黑体" w:eastAsia="黑体" w:cs="黑体"/>
          <w:b w:val="0"/>
          <w:bCs/>
          <w:color w:val="auto"/>
          <w:sz w:val="32"/>
          <w:szCs w:val="32"/>
          <w:highlight w:val="none"/>
          <w:lang w:eastAsia="zh-CN"/>
        </w:rPr>
      </w:pPr>
      <w:r>
        <w:rPr>
          <w:rStyle w:val="12"/>
          <w:rFonts w:hint="eastAsia" w:ascii="黑体" w:hAnsi="黑体" w:eastAsia="黑体" w:cs="黑体"/>
          <w:b w:val="0"/>
          <w:bCs/>
          <w:color w:val="auto"/>
          <w:sz w:val="32"/>
          <w:szCs w:val="32"/>
          <w:highlight w:val="none"/>
          <w:lang w:eastAsia="zh-CN"/>
        </w:rPr>
        <w:t>六、授权运营管理</w:t>
      </w:r>
    </w:p>
    <w:p w14:paraId="26435CDB">
      <w:pPr>
        <w:keepNext w:val="0"/>
        <w:keepLines w:val="0"/>
        <w:pageBreakBefore w:val="0"/>
        <w:numPr>
          <w:ilvl w:val="0"/>
          <w:numId w:val="0"/>
        </w:numPr>
        <w:kinsoku/>
        <w:wordWrap/>
        <w:overflowPunct/>
        <w:topLinePunct w:val="0"/>
        <w:autoSpaceDE/>
        <w:autoSpaceDN/>
        <w:bidi w:val="0"/>
        <w:adjustRightInd/>
        <w:snapToGrid/>
        <w:spacing w:line="576" w:lineRule="exact"/>
        <w:ind w:firstLine="640" w:firstLineChars="200"/>
        <w:textAlignment w:val="auto"/>
        <w:outlineLvl w:val="1"/>
        <w:rPr>
          <w:rFonts w:hint="eastAsia" w:ascii="楷体" w:hAnsi="楷体" w:eastAsia="楷体" w:cs="楷体"/>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（一）公共数据资源及产品和服务的登记</w:t>
      </w:r>
    </w:p>
    <w:p w14:paraId="5435E17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Fonts w:hint="eastAsia" w:ascii="Times New Roman" w:hAnsi="Times New Roman" w:eastAsia="仿宋" w:cs="仿宋"/>
          <w:b w:val="0"/>
          <w:bCs w:val="0"/>
          <w:color w:val="auto"/>
          <w:sz w:val="32"/>
          <w:szCs w:val="32"/>
          <w:highlight w:val="none"/>
          <w:lang w:val="en-US" w:eastAsia="zh-CN"/>
        </w:rPr>
      </w:pPr>
      <w:r>
        <w:rPr>
          <w:rFonts w:hint="eastAsia" w:ascii="Times New Roman" w:hAnsi="Times New Roman" w:eastAsia="仿宋" w:cs="仿宋"/>
          <w:b w:val="0"/>
          <w:bCs w:val="0"/>
          <w:color w:val="auto"/>
          <w:sz w:val="32"/>
          <w:szCs w:val="32"/>
          <w:highlight w:val="none"/>
          <w:lang w:val="en-US" w:eastAsia="zh-CN"/>
        </w:rPr>
        <w:t>实施机构统筹指导数源单位、运营机构分别将授权运营范围内的公共数据资源、公共数据产品和服务，按照公共数据资源登记、数据产权登记等相关要求进行登记。</w:t>
      </w:r>
    </w:p>
    <w:p w14:paraId="5A19B806">
      <w:pPr>
        <w:keepNext w:val="0"/>
        <w:keepLines w:val="0"/>
        <w:pageBreakBefore w:val="0"/>
        <w:numPr>
          <w:ilvl w:val="0"/>
          <w:numId w:val="0"/>
        </w:numPr>
        <w:kinsoku/>
        <w:wordWrap/>
        <w:overflowPunct/>
        <w:topLinePunct w:val="0"/>
        <w:autoSpaceDE/>
        <w:autoSpaceDN/>
        <w:bidi w:val="0"/>
        <w:adjustRightInd/>
        <w:snapToGrid/>
        <w:spacing w:line="576" w:lineRule="exact"/>
        <w:ind w:firstLine="640" w:firstLineChars="200"/>
        <w:textAlignment w:val="auto"/>
        <w:outlineLvl w:val="1"/>
        <w:rPr>
          <w:rFonts w:hint="eastAsia" w:ascii="楷体" w:hAnsi="楷体" w:eastAsia="楷体" w:cs="楷体"/>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（二）建设内容</w:t>
      </w:r>
    </w:p>
    <w:p w14:paraId="1EDE689E">
      <w:pPr>
        <w:keepNext w:val="0"/>
        <w:keepLines w:val="0"/>
        <w:pageBreakBefore w:val="0"/>
        <w:widowControl/>
        <w:suppressLineNumbers w:val="0"/>
        <w:kinsoku/>
        <w:overflowPunct/>
        <w:autoSpaceDE/>
        <w:autoSpaceDN/>
        <w:bidi w:val="0"/>
        <w:adjustRightInd/>
        <w:snapToGrid/>
        <w:spacing w:line="576" w:lineRule="exact"/>
        <w:ind w:firstLine="640" w:firstLineChars="200"/>
        <w:jc w:val="left"/>
        <w:textAlignment w:val="auto"/>
        <w:rPr>
          <w:rFonts w:hint="eastAsia" w:ascii="Times New Roman" w:hAnsi="Times New Roman" w:eastAsia="仿宋" w:cs="仿宋"/>
          <w:b w:val="0"/>
          <w:bCs w:val="0"/>
          <w:color w:val="auto"/>
          <w:sz w:val="32"/>
          <w:szCs w:val="32"/>
          <w:highlight w:val="none"/>
          <w:lang w:eastAsia="zh-CN"/>
        </w:rPr>
      </w:pPr>
      <w:r>
        <w:rPr>
          <w:rFonts w:hint="eastAsia" w:ascii="Times New Roman" w:hAnsi="Times New Roman" w:eastAsia="仿宋" w:cs="仿宋"/>
          <w:b w:val="0"/>
          <w:bCs w:val="0"/>
          <w:color w:val="auto"/>
          <w:sz w:val="32"/>
          <w:szCs w:val="32"/>
          <w:highlight w:val="none"/>
          <w:lang w:eastAsia="zh-CN"/>
        </w:rPr>
        <w:t>实施机构指导运营</w:t>
      </w:r>
      <w:r>
        <w:rPr>
          <w:rFonts w:hint="eastAsia" w:ascii="Times New Roman" w:hAnsi="Times New Roman" w:eastAsia="仿宋" w:cs="仿宋"/>
          <w:b w:val="0"/>
          <w:bCs w:val="0"/>
          <w:color w:val="auto"/>
          <w:sz w:val="32"/>
          <w:szCs w:val="32"/>
          <w:highlight w:val="none"/>
        </w:rPr>
        <w:t>机构</w:t>
      </w:r>
      <w:r>
        <w:rPr>
          <w:rFonts w:hint="eastAsia" w:ascii="Times New Roman" w:hAnsi="Times New Roman" w:eastAsia="仿宋" w:cs="仿宋"/>
          <w:b w:val="0"/>
          <w:bCs w:val="0"/>
          <w:color w:val="auto"/>
          <w:sz w:val="32"/>
          <w:szCs w:val="32"/>
          <w:highlight w:val="none"/>
          <w:lang w:eastAsia="zh-CN"/>
        </w:rPr>
        <w:t>建设公共数据管理平台和</w:t>
      </w:r>
      <w:r>
        <w:rPr>
          <w:rFonts w:hint="eastAsia" w:ascii="Times New Roman" w:hAnsi="Times New Roman" w:eastAsia="仿宋" w:cs="仿宋"/>
          <w:b w:val="0"/>
          <w:bCs w:val="0"/>
          <w:color w:val="auto"/>
          <w:sz w:val="32"/>
          <w:szCs w:val="32"/>
          <w:highlight w:val="none"/>
        </w:rPr>
        <w:t>公共数据</w:t>
      </w:r>
      <w:r>
        <w:rPr>
          <w:rFonts w:hint="eastAsia" w:ascii="Times New Roman" w:hAnsi="Times New Roman" w:eastAsia="仿宋" w:cs="仿宋"/>
          <w:b w:val="0"/>
          <w:bCs w:val="0"/>
          <w:color w:val="auto"/>
          <w:sz w:val="32"/>
          <w:szCs w:val="32"/>
          <w:highlight w:val="none"/>
          <w:lang w:eastAsia="zh-CN"/>
        </w:rPr>
        <w:t>资源授权</w:t>
      </w:r>
      <w:r>
        <w:rPr>
          <w:rFonts w:hint="eastAsia" w:ascii="Times New Roman" w:hAnsi="Times New Roman" w:eastAsia="仿宋" w:cs="仿宋"/>
          <w:b w:val="0"/>
          <w:bCs w:val="0"/>
          <w:color w:val="auto"/>
          <w:sz w:val="32"/>
          <w:szCs w:val="32"/>
          <w:highlight w:val="none"/>
        </w:rPr>
        <w:t>运营平台，</w:t>
      </w:r>
      <w:r>
        <w:rPr>
          <w:rFonts w:hint="eastAsia" w:ascii="Times New Roman" w:hAnsi="Times New Roman" w:eastAsia="仿宋" w:cs="仿宋"/>
          <w:b w:val="0"/>
          <w:bCs w:val="0"/>
          <w:color w:val="auto"/>
          <w:sz w:val="32"/>
          <w:szCs w:val="32"/>
          <w:highlight w:val="none"/>
          <w:lang w:eastAsia="zh-CN"/>
        </w:rPr>
        <w:t>作为市级统一的公共数据汇聚管理、授权运营平台。支持</w:t>
      </w:r>
      <w:r>
        <w:rPr>
          <w:rFonts w:hint="eastAsia" w:ascii="Times New Roman" w:hAnsi="Times New Roman" w:eastAsia="仿宋" w:cs="仿宋"/>
          <w:b w:val="0"/>
          <w:bCs w:val="0"/>
          <w:color w:val="auto"/>
          <w:sz w:val="32"/>
          <w:szCs w:val="32"/>
          <w:highlight w:val="none"/>
        </w:rPr>
        <w:t>数据供需对接、授权运营管理、全流程安全监控等功能</w:t>
      </w:r>
      <w:r>
        <w:rPr>
          <w:rFonts w:hint="eastAsia" w:ascii="Times New Roman" w:hAnsi="Times New Roman" w:eastAsia="仿宋" w:cs="仿宋"/>
          <w:b w:val="0"/>
          <w:bCs w:val="0"/>
          <w:color w:val="auto"/>
          <w:sz w:val="32"/>
          <w:szCs w:val="32"/>
          <w:highlight w:val="none"/>
          <w:lang w:eastAsia="zh-CN"/>
        </w:rPr>
        <w:t>，</w:t>
      </w:r>
      <w:r>
        <w:rPr>
          <w:rFonts w:hint="eastAsia" w:ascii="Times New Roman" w:hAnsi="Times New Roman" w:eastAsia="仿宋" w:cs="仿宋"/>
          <w:b w:val="0"/>
          <w:bCs w:val="0"/>
          <w:color w:val="auto"/>
          <w:sz w:val="32"/>
          <w:szCs w:val="32"/>
          <w:highlight w:val="none"/>
        </w:rPr>
        <w:t>确保公共数据资源授权运营全流程操作可审计、数据可溯源。</w:t>
      </w:r>
      <w:r>
        <w:rPr>
          <w:rFonts w:hint="eastAsia" w:ascii="Times New Roman" w:hAnsi="Times New Roman" w:eastAsia="仿宋" w:cs="仿宋"/>
          <w:b w:val="0"/>
          <w:bCs w:val="0"/>
          <w:color w:val="auto"/>
          <w:sz w:val="32"/>
          <w:szCs w:val="32"/>
          <w:highlight w:val="none"/>
          <w:lang w:eastAsia="zh-CN"/>
        </w:rPr>
        <w:t>平台建设应充分利用现有信息系统资源集约化建设。</w:t>
      </w:r>
    </w:p>
    <w:p w14:paraId="7CF8F393">
      <w:pPr>
        <w:keepNext w:val="0"/>
        <w:keepLines w:val="0"/>
        <w:pageBreakBefore w:val="0"/>
        <w:numPr>
          <w:ilvl w:val="0"/>
          <w:numId w:val="0"/>
        </w:numPr>
        <w:kinsoku/>
        <w:wordWrap/>
        <w:overflowPunct/>
        <w:topLinePunct w:val="0"/>
        <w:autoSpaceDE/>
        <w:autoSpaceDN/>
        <w:bidi w:val="0"/>
        <w:adjustRightInd/>
        <w:snapToGrid/>
        <w:spacing w:line="576" w:lineRule="exact"/>
        <w:ind w:firstLine="640" w:firstLineChars="200"/>
        <w:textAlignment w:val="auto"/>
        <w:outlineLvl w:val="1"/>
        <w:rPr>
          <w:rFonts w:hint="eastAsia" w:ascii="楷体" w:hAnsi="楷体" w:eastAsia="楷体" w:cs="楷体"/>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（三）技术保障</w:t>
      </w:r>
    </w:p>
    <w:p w14:paraId="226DB88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Fonts w:hint="eastAsia" w:ascii="Times New Roman" w:hAnsi="Times New Roman" w:eastAsia="仿宋" w:cs="仿宋"/>
          <w:b w:val="0"/>
          <w:bCs w:val="0"/>
          <w:color w:val="auto"/>
          <w:sz w:val="32"/>
          <w:szCs w:val="32"/>
          <w:highlight w:val="yellow"/>
          <w:lang w:val="en-US" w:eastAsia="zh-CN"/>
        </w:rPr>
      </w:pPr>
      <w:r>
        <w:rPr>
          <w:rFonts w:hint="eastAsia" w:ascii="Times New Roman" w:hAnsi="Times New Roman" w:eastAsia="仿宋" w:cs="仿宋"/>
          <w:b w:val="0"/>
          <w:bCs w:val="0"/>
          <w:color w:val="auto"/>
          <w:sz w:val="32"/>
          <w:szCs w:val="32"/>
          <w:highlight w:val="none"/>
        </w:rPr>
        <w:t>运营机构</w:t>
      </w:r>
      <w:r>
        <w:rPr>
          <w:rFonts w:hint="eastAsia" w:ascii="Times New Roman" w:hAnsi="Times New Roman" w:eastAsia="仿宋" w:cs="仿宋"/>
          <w:b w:val="0"/>
          <w:bCs w:val="0"/>
          <w:color w:val="auto"/>
          <w:sz w:val="32"/>
          <w:szCs w:val="32"/>
          <w:highlight w:val="none"/>
          <w:lang w:eastAsia="zh-CN"/>
        </w:rPr>
        <w:t>应</w:t>
      </w:r>
      <w:r>
        <w:rPr>
          <w:rFonts w:hint="eastAsia" w:ascii="Times New Roman" w:hAnsi="Times New Roman" w:eastAsia="仿宋" w:cs="仿宋"/>
          <w:b w:val="0"/>
          <w:bCs w:val="0"/>
          <w:color w:val="auto"/>
          <w:sz w:val="32"/>
          <w:szCs w:val="32"/>
          <w:highlight w:val="none"/>
        </w:rPr>
        <w:t>严格执行《</w:t>
      </w:r>
      <w:r>
        <w:rPr>
          <w:rFonts w:hint="eastAsia" w:ascii="Times New Roman" w:hAnsi="Times New Roman" w:eastAsia="仿宋" w:cs="仿宋"/>
          <w:b w:val="0"/>
          <w:bCs w:val="0"/>
          <w:color w:val="auto"/>
          <w:sz w:val="32"/>
          <w:szCs w:val="32"/>
          <w:highlight w:val="none"/>
          <w:lang w:eastAsia="zh-CN"/>
        </w:rPr>
        <w:t>中华人民共和国</w:t>
      </w:r>
      <w:r>
        <w:rPr>
          <w:rFonts w:hint="eastAsia" w:ascii="Times New Roman" w:hAnsi="Times New Roman" w:eastAsia="仿宋" w:cs="仿宋"/>
          <w:b w:val="0"/>
          <w:bCs w:val="0"/>
          <w:color w:val="auto"/>
          <w:sz w:val="32"/>
          <w:szCs w:val="32"/>
          <w:highlight w:val="none"/>
        </w:rPr>
        <w:t>网络安全法》《</w:t>
      </w:r>
      <w:r>
        <w:rPr>
          <w:rFonts w:hint="eastAsia" w:ascii="Times New Roman" w:hAnsi="Times New Roman" w:eastAsia="仿宋" w:cs="仿宋"/>
          <w:b w:val="0"/>
          <w:bCs w:val="0"/>
          <w:color w:val="auto"/>
          <w:sz w:val="32"/>
          <w:szCs w:val="32"/>
          <w:highlight w:val="none"/>
          <w:lang w:eastAsia="zh-CN"/>
        </w:rPr>
        <w:t>中华人民共和国</w:t>
      </w:r>
      <w:r>
        <w:rPr>
          <w:rFonts w:hint="eastAsia" w:ascii="Times New Roman" w:hAnsi="Times New Roman" w:eastAsia="仿宋" w:cs="仿宋"/>
          <w:b w:val="0"/>
          <w:bCs w:val="0"/>
          <w:color w:val="auto"/>
          <w:sz w:val="32"/>
          <w:szCs w:val="32"/>
          <w:highlight w:val="none"/>
        </w:rPr>
        <w:t>数据安全法》《</w:t>
      </w:r>
      <w:r>
        <w:rPr>
          <w:rFonts w:hint="eastAsia" w:ascii="Times New Roman" w:hAnsi="Times New Roman" w:eastAsia="仿宋" w:cs="仿宋"/>
          <w:b w:val="0"/>
          <w:bCs w:val="0"/>
          <w:color w:val="auto"/>
          <w:sz w:val="32"/>
          <w:szCs w:val="32"/>
          <w:highlight w:val="none"/>
          <w:lang w:eastAsia="zh-CN"/>
        </w:rPr>
        <w:t>中华人民共和国</w:t>
      </w:r>
      <w:r>
        <w:rPr>
          <w:rFonts w:hint="eastAsia" w:ascii="Times New Roman" w:hAnsi="Times New Roman" w:eastAsia="仿宋" w:cs="仿宋"/>
          <w:b w:val="0"/>
          <w:bCs w:val="0"/>
          <w:color w:val="auto"/>
          <w:sz w:val="32"/>
          <w:szCs w:val="32"/>
          <w:highlight w:val="none"/>
        </w:rPr>
        <w:t>个人信息保护法》等法律法规要求</w:t>
      </w:r>
      <w:r>
        <w:rPr>
          <w:rFonts w:hint="eastAsia" w:ascii="Times New Roman" w:hAnsi="Times New Roman" w:eastAsia="仿宋" w:cs="仿宋"/>
          <w:b w:val="0"/>
          <w:bCs w:val="0"/>
          <w:color w:val="auto"/>
          <w:sz w:val="32"/>
          <w:szCs w:val="32"/>
          <w:highlight w:val="none"/>
          <w:lang w:eastAsia="zh-CN"/>
        </w:rPr>
        <w:t>，建立健全高效的技术防护和运营管理体系，保障公共数据资源安全，切实保护个人信息。</w:t>
      </w:r>
    </w:p>
    <w:p w14:paraId="2C26E4D9">
      <w:pPr>
        <w:keepNext w:val="0"/>
        <w:keepLines w:val="0"/>
        <w:pageBreakBefore w:val="0"/>
        <w:numPr>
          <w:ilvl w:val="0"/>
          <w:numId w:val="0"/>
        </w:numPr>
        <w:kinsoku/>
        <w:wordWrap/>
        <w:overflowPunct/>
        <w:topLinePunct w:val="0"/>
        <w:autoSpaceDE/>
        <w:autoSpaceDN/>
        <w:bidi w:val="0"/>
        <w:adjustRightInd/>
        <w:snapToGrid/>
        <w:spacing w:line="576" w:lineRule="exact"/>
        <w:ind w:firstLine="640" w:firstLineChars="200"/>
        <w:textAlignment w:val="auto"/>
        <w:outlineLvl w:val="1"/>
        <w:rPr>
          <w:rFonts w:hint="eastAsia" w:ascii="Times New Roman" w:hAnsi="Times New Roman" w:eastAsia="仿宋" w:cs="仿宋"/>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（四）实施进度</w:t>
      </w:r>
    </w:p>
    <w:p w14:paraId="33ECA4F8">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76" w:lineRule="exact"/>
        <w:ind w:left="0" w:right="0" w:firstLine="640" w:firstLineChars="200"/>
        <w:textAlignment w:val="auto"/>
        <w:rPr>
          <w:rFonts w:hint="eastAsia" w:ascii="Times New Roman" w:hAnsi="Times New Roman" w:eastAsia="仿宋" w:cs="仿宋"/>
          <w:b w:val="0"/>
          <w:bCs w:val="0"/>
          <w:color w:val="auto"/>
          <w:sz w:val="32"/>
          <w:szCs w:val="32"/>
          <w:highlight w:val="none"/>
        </w:rPr>
      </w:pPr>
      <w:r>
        <w:rPr>
          <w:rFonts w:hint="eastAsia" w:ascii="Times New Roman" w:hAnsi="Times New Roman" w:eastAsia="仿宋" w:cs="仿宋"/>
          <w:b w:val="0"/>
          <w:bCs w:val="0"/>
          <w:color w:val="auto"/>
          <w:sz w:val="32"/>
          <w:szCs w:val="32"/>
          <w:highlight w:val="none"/>
          <w:lang w:val="en-US" w:eastAsia="zh-CN"/>
        </w:rPr>
        <w:t>1.试运行阶段。以公平竞争方式</w:t>
      </w:r>
      <w:r>
        <w:rPr>
          <w:rFonts w:hint="eastAsia" w:ascii="Times New Roman" w:hAnsi="Times New Roman" w:eastAsia="仿宋" w:cs="仿宋"/>
          <w:b w:val="0"/>
          <w:bCs w:val="0"/>
          <w:color w:val="auto"/>
          <w:sz w:val="32"/>
          <w:szCs w:val="32"/>
          <w:highlight w:val="none"/>
          <w:lang w:eastAsia="zh-CN"/>
        </w:rPr>
        <w:t>确定</w:t>
      </w:r>
      <w:r>
        <w:rPr>
          <w:rFonts w:hint="eastAsia" w:ascii="Times New Roman" w:hAnsi="Times New Roman" w:eastAsia="仿宋" w:cs="仿宋"/>
          <w:b w:val="0"/>
          <w:bCs w:val="0"/>
          <w:color w:val="auto"/>
          <w:sz w:val="32"/>
          <w:szCs w:val="32"/>
          <w:highlight w:val="none"/>
        </w:rPr>
        <w:t>运营机构，</w:t>
      </w:r>
      <w:r>
        <w:rPr>
          <w:rFonts w:hint="eastAsia" w:ascii="Times New Roman" w:hAnsi="Times New Roman" w:eastAsia="仿宋" w:cs="仿宋"/>
          <w:b w:val="0"/>
          <w:bCs w:val="0"/>
          <w:color w:val="auto"/>
          <w:sz w:val="32"/>
          <w:szCs w:val="32"/>
          <w:highlight w:val="none"/>
          <w:lang w:eastAsia="zh-CN"/>
        </w:rPr>
        <w:t>签订《公共数据资源授权运营协议》；</w:t>
      </w:r>
      <w:r>
        <w:rPr>
          <w:rFonts w:hint="eastAsia" w:ascii="Times New Roman" w:hAnsi="Times New Roman" w:eastAsia="仿宋" w:cs="仿宋"/>
          <w:b w:val="0"/>
          <w:bCs w:val="0"/>
          <w:color w:val="auto"/>
          <w:sz w:val="32"/>
          <w:szCs w:val="32"/>
          <w:highlight w:val="none"/>
        </w:rPr>
        <w:t>初步建成</w:t>
      </w:r>
      <w:r>
        <w:rPr>
          <w:rFonts w:hint="eastAsia" w:ascii="Times New Roman" w:hAnsi="Times New Roman" w:eastAsia="仿宋" w:cs="仿宋"/>
          <w:b w:val="0"/>
          <w:bCs w:val="0"/>
          <w:color w:val="auto"/>
          <w:sz w:val="32"/>
          <w:szCs w:val="32"/>
          <w:highlight w:val="none"/>
          <w:lang w:eastAsia="zh-CN"/>
        </w:rPr>
        <w:t>通化市公共数据管理平台和公共数据资源授权运营</w:t>
      </w:r>
      <w:r>
        <w:rPr>
          <w:rFonts w:hint="eastAsia" w:ascii="Times New Roman" w:hAnsi="Times New Roman" w:eastAsia="仿宋" w:cs="仿宋"/>
          <w:b w:val="0"/>
          <w:bCs w:val="0"/>
          <w:color w:val="auto"/>
          <w:sz w:val="32"/>
          <w:szCs w:val="32"/>
          <w:highlight w:val="none"/>
        </w:rPr>
        <w:t>平台</w:t>
      </w:r>
      <w:r>
        <w:rPr>
          <w:rFonts w:hint="eastAsia" w:ascii="Times New Roman" w:hAnsi="Times New Roman" w:eastAsia="仿宋" w:cs="仿宋"/>
          <w:b w:val="0"/>
          <w:bCs w:val="0"/>
          <w:color w:val="auto"/>
          <w:sz w:val="32"/>
          <w:szCs w:val="32"/>
          <w:highlight w:val="none"/>
          <w:lang w:eastAsia="zh-CN"/>
        </w:rPr>
        <w:t>；结合</w:t>
      </w:r>
      <w:r>
        <w:rPr>
          <w:rFonts w:hint="eastAsia" w:ascii="Times New Roman" w:hAnsi="Times New Roman" w:eastAsia="仿宋" w:cs="仿宋"/>
          <w:b w:val="0"/>
          <w:bCs w:val="0"/>
          <w:color w:val="auto"/>
          <w:sz w:val="32"/>
          <w:szCs w:val="32"/>
          <w:highlight w:val="none"/>
          <w:lang w:val="en-US" w:eastAsia="zh-CN"/>
        </w:rPr>
        <w:t>通化市公共数据资源授权运营资源目录（第一批）</w:t>
      </w:r>
      <w:r>
        <w:rPr>
          <w:rFonts w:hint="eastAsia" w:ascii="Times New Roman" w:hAnsi="Times New Roman" w:eastAsia="仿宋" w:cs="仿宋"/>
          <w:b w:val="0"/>
          <w:bCs w:val="0"/>
          <w:color w:val="auto"/>
          <w:sz w:val="32"/>
          <w:szCs w:val="32"/>
          <w:highlight w:val="none"/>
        </w:rPr>
        <w:t>和</w:t>
      </w:r>
      <w:r>
        <w:rPr>
          <w:rFonts w:hint="eastAsia" w:ascii="Times New Roman" w:hAnsi="Times New Roman" w:eastAsia="仿宋" w:cs="仿宋"/>
          <w:b w:val="0"/>
          <w:bCs w:val="0"/>
          <w:color w:val="auto"/>
          <w:sz w:val="32"/>
          <w:szCs w:val="32"/>
          <w:highlight w:val="none"/>
          <w:lang w:val="en-US" w:eastAsia="zh-CN"/>
        </w:rPr>
        <w:t>通化市拟提供的公共数据产品和服务清单</w:t>
      </w:r>
      <w:r>
        <w:rPr>
          <w:rFonts w:hint="eastAsia" w:ascii="Times New Roman" w:hAnsi="Times New Roman" w:eastAsia="仿宋" w:cs="仿宋"/>
          <w:b w:val="0"/>
          <w:bCs w:val="0"/>
          <w:color w:val="auto"/>
          <w:sz w:val="32"/>
          <w:szCs w:val="32"/>
          <w:highlight w:val="none"/>
          <w:lang w:val="en-US" w:eastAsia="zh"/>
        </w:rPr>
        <w:t>（</w:t>
      </w:r>
      <w:r>
        <w:rPr>
          <w:rFonts w:hint="eastAsia" w:ascii="Times New Roman" w:hAnsi="Times New Roman" w:eastAsia="仿宋" w:cs="仿宋"/>
          <w:b w:val="0"/>
          <w:bCs w:val="0"/>
          <w:color w:val="auto"/>
          <w:sz w:val="32"/>
          <w:szCs w:val="32"/>
          <w:highlight w:val="none"/>
          <w:lang w:val="en-US" w:eastAsia="zh-CN"/>
        </w:rPr>
        <w:t>第一批</w:t>
      </w:r>
      <w:r>
        <w:rPr>
          <w:rFonts w:hint="eastAsia" w:ascii="Times New Roman" w:hAnsi="Times New Roman" w:eastAsia="仿宋" w:cs="仿宋"/>
          <w:b w:val="0"/>
          <w:bCs w:val="0"/>
          <w:color w:val="auto"/>
          <w:sz w:val="32"/>
          <w:szCs w:val="32"/>
          <w:highlight w:val="none"/>
          <w:lang w:val="en-US" w:eastAsia="zh"/>
        </w:rPr>
        <w:t>）</w:t>
      </w:r>
      <w:r>
        <w:rPr>
          <w:rFonts w:hint="eastAsia" w:ascii="Times New Roman" w:hAnsi="Times New Roman" w:eastAsia="仿宋" w:cs="仿宋"/>
          <w:b w:val="0"/>
          <w:bCs w:val="0"/>
          <w:color w:val="auto"/>
          <w:sz w:val="32"/>
          <w:szCs w:val="32"/>
          <w:highlight w:val="none"/>
          <w:lang w:val="en-US" w:eastAsia="zh-CN"/>
        </w:rPr>
        <w:t>启动</w:t>
      </w:r>
      <w:r>
        <w:rPr>
          <w:rFonts w:hint="eastAsia" w:ascii="Times New Roman" w:hAnsi="Times New Roman" w:eastAsia="仿宋" w:cs="仿宋"/>
          <w:b w:val="0"/>
          <w:bCs w:val="0"/>
          <w:color w:val="auto"/>
          <w:sz w:val="32"/>
          <w:szCs w:val="32"/>
          <w:highlight w:val="none"/>
        </w:rPr>
        <w:t>运营。</w:t>
      </w:r>
    </w:p>
    <w:p w14:paraId="0C5B007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Fonts w:hint="eastAsia" w:ascii="Times New Roman" w:hAnsi="Times New Roman" w:eastAsia="仿宋" w:cs="仿宋"/>
          <w:b w:val="0"/>
          <w:bCs w:val="0"/>
          <w:color w:val="auto"/>
          <w:sz w:val="32"/>
          <w:szCs w:val="32"/>
          <w:highlight w:val="none"/>
          <w:lang w:eastAsia="zh-CN"/>
        </w:rPr>
      </w:pPr>
      <w:r>
        <w:rPr>
          <w:rFonts w:hint="eastAsia" w:ascii="Times New Roman" w:hAnsi="Times New Roman" w:eastAsia="仿宋" w:cs="仿宋"/>
          <w:b w:val="0"/>
          <w:bCs w:val="0"/>
          <w:color w:val="auto"/>
          <w:sz w:val="32"/>
          <w:szCs w:val="32"/>
          <w:highlight w:val="none"/>
          <w:lang w:val="en-US" w:eastAsia="zh-CN"/>
        </w:rPr>
        <w:t>2.完善运营阶段</w:t>
      </w:r>
      <w:r>
        <w:rPr>
          <w:rFonts w:hint="eastAsia" w:ascii="Times New Roman" w:hAnsi="Times New Roman" w:eastAsia="仿宋" w:cs="仿宋"/>
          <w:b w:val="0"/>
          <w:bCs w:val="0"/>
          <w:color w:val="auto"/>
          <w:sz w:val="32"/>
          <w:szCs w:val="32"/>
          <w:highlight w:val="none"/>
          <w:lang w:eastAsia="zh-CN"/>
        </w:rPr>
        <w:t>。</w:t>
      </w:r>
      <w:r>
        <w:rPr>
          <w:rFonts w:hint="eastAsia" w:ascii="Times New Roman" w:hAnsi="Times New Roman" w:eastAsia="仿宋" w:cs="仿宋"/>
          <w:b w:val="0"/>
          <w:bCs w:val="0"/>
          <w:color w:val="auto"/>
          <w:sz w:val="32"/>
          <w:szCs w:val="32"/>
          <w:highlight w:val="none"/>
        </w:rPr>
        <w:t>持续完善</w:t>
      </w:r>
      <w:r>
        <w:rPr>
          <w:rFonts w:hint="eastAsia" w:ascii="Times New Roman" w:hAnsi="Times New Roman" w:eastAsia="仿宋" w:cs="仿宋"/>
          <w:b w:val="0"/>
          <w:bCs w:val="0"/>
          <w:color w:val="auto"/>
          <w:sz w:val="32"/>
          <w:szCs w:val="32"/>
          <w:highlight w:val="none"/>
          <w:lang w:eastAsia="zh-CN"/>
        </w:rPr>
        <w:t>公共数据资源授权运营</w:t>
      </w:r>
      <w:r>
        <w:rPr>
          <w:rFonts w:hint="eastAsia" w:ascii="Times New Roman" w:hAnsi="Times New Roman" w:eastAsia="仿宋" w:cs="仿宋"/>
          <w:b w:val="0"/>
          <w:bCs w:val="0"/>
          <w:color w:val="auto"/>
          <w:sz w:val="32"/>
          <w:szCs w:val="32"/>
          <w:highlight w:val="none"/>
        </w:rPr>
        <w:t>平台功能</w:t>
      </w:r>
      <w:r>
        <w:rPr>
          <w:rFonts w:hint="eastAsia" w:ascii="Times New Roman" w:hAnsi="Times New Roman" w:eastAsia="仿宋" w:cs="仿宋"/>
          <w:b w:val="0"/>
          <w:bCs w:val="0"/>
          <w:color w:val="auto"/>
          <w:sz w:val="32"/>
          <w:szCs w:val="32"/>
          <w:highlight w:val="none"/>
          <w:lang w:val="en-US" w:eastAsia="zh-CN"/>
        </w:rPr>
        <w:t>，拓展公共数据在各领域的应用场景</w:t>
      </w:r>
      <w:r>
        <w:rPr>
          <w:rFonts w:hint="eastAsia" w:ascii="Times New Roman" w:hAnsi="Times New Roman" w:eastAsia="仿宋" w:cs="仿宋"/>
          <w:b w:val="0"/>
          <w:bCs w:val="0"/>
          <w:color w:val="auto"/>
          <w:sz w:val="32"/>
          <w:szCs w:val="32"/>
          <w:highlight w:val="none"/>
        </w:rPr>
        <w:t>。</w:t>
      </w:r>
      <w:r>
        <w:rPr>
          <w:rFonts w:hint="eastAsia" w:ascii="Times New Roman" w:hAnsi="Times New Roman" w:eastAsia="仿宋" w:cs="仿宋"/>
          <w:b w:val="0"/>
          <w:bCs w:val="0"/>
          <w:color w:val="auto"/>
          <w:sz w:val="32"/>
          <w:szCs w:val="32"/>
          <w:highlight w:val="none"/>
          <w:lang w:val="en-US" w:eastAsia="zh-CN"/>
        </w:rPr>
        <w:t>健全产品定价、收益分配、安全管理等基础制度，</w:t>
      </w:r>
      <w:r>
        <w:rPr>
          <w:rFonts w:hint="eastAsia" w:ascii="Times New Roman" w:hAnsi="Times New Roman" w:eastAsia="仿宋" w:cs="仿宋"/>
          <w:b w:val="0"/>
          <w:bCs w:val="0"/>
          <w:color w:val="auto"/>
          <w:sz w:val="32"/>
          <w:szCs w:val="32"/>
          <w:highlight w:val="none"/>
          <w:lang w:eastAsia="zh-CN"/>
        </w:rPr>
        <w:t>协调相关部门开展授权运营监督管理及考核评价。</w:t>
      </w:r>
    </w:p>
    <w:p w14:paraId="22F7C62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Fonts w:hint="eastAsia" w:ascii="Times New Roman" w:hAnsi="Times New Roman" w:eastAsia="仿宋" w:cs="仿宋"/>
          <w:b w:val="0"/>
          <w:bCs w:val="0"/>
          <w:color w:val="auto"/>
          <w:sz w:val="32"/>
          <w:szCs w:val="32"/>
          <w:highlight w:val="none"/>
          <w:lang w:val="en-US" w:eastAsia="zh-CN"/>
        </w:rPr>
      </w:pPr>
      <w:r>
        <w:rPr>
          <w:rFonts w:hint="eastAsia" w:ascii="Times New Roman" w:hAnsi="Times New Roman" w:eastAsia="仿宋" w:cs="仿宋"/>
          <w:b w:val="0"/>
          <w:bCs w:val="0"/>
          <w:color w:val="auto"/>
          <w:sz w:val="32"/>
          <w:szCs w:val="32"/>
          <w:highlight w:val="none"/>
          <w:lang w:val="en-US" w:eastAsia="zh-CN"/>
        </w:rPr>
        <w:t>3.运营推广阶段。探索形成适合我市的公共数据资源授权运营模式，培育规范有序的公共数据运营生态，持续壮大数字产业发展体系。</w:t>
      </w:r>
    </w:p>
    <w:p w14:paraId="18D5923C">
      <w:pPr>
        <w:keepNext w:val="0"/>
        <w:keepLines w:val="0"/>
        <w:pageBreakBefore w:val="0"/>
        <w:numPr>
          <w:ilvl w:val="0"/>
          <w:numId w:val="0"/>
        </w:numPr>
        <w:kinsoku/>
        <w:wordWrap/>
        <w:overflowPunct/>
        <w:topLinePunct w:val="0"/>
        <w:autoSpaceDE/>
        <w:autoSpaceDN/>
        <w:bidi w:val="0"/>
        <w:adjustRightInd/>
        <w:snapToGrid/>
        <w:spacing w:line="576" w:lineRule="exact"/>
        <w:ind w:firstLine="640" w:firstLineChars="200"/>
        <w:textAlignment w:val="auto"/>
        <w:outlineLvl w:val="1"/>
        <w:rPr>
          <w:rFonts w:hint="eastAsia" w:ascii="楷体" w:hAnsi="楷体" w:eastAsia="楷体" w:cs="楷体"/>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（五）评价标准</w:t>
      </w:r>
    </w:p>
    <w:p w14:paraId="1BCC318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Fonts w:hint="eastAsia" w:ascii="Times New Roman" w:hAnsi="Times New Roman" w:eastAsia="仿宋" w:cs="仿宋"/>
          <w:b w:val="0"/>
          <w:bCs w:val="0"/>
          <w:color w:val="auto"/>
          <w:sz w:val="32"/>
          <w:szCs w:val="32"/>
          <w:highlight w:val="none"/>
          <w:lang w:val="en-US" w:eastAsia="zh-CN"/>
        </w:rPr>
      </w:pPr>
      <w:r>
        <w:rPr>
          <w:rFonts w:hint="eastAsia" w:ascii="Times New Roman" w:hAnsi="Times New Roman" w:eastAsia="仿宋" w:cs="仿宋"/>
          <w:b w:val="0"/>
          <w:bCs w:val="0"/>
          <w:color w:val="auto"/>
          <w:sz w:val="32"/>
          <w:szCs w:val="32"/>
          <w:highlight w:val="none"/>
          <w:lang w:val="en-US" w:eastAsia="zh-CN"/>
        </w:rPr>
        <w:t>实施机构委托第三方机构对运营机构关于</w:t>
      </w:r>
      <w:r>
        <w:rPr>
          <w:rFonts w:hint="eastAsia" w:ascii="Times New Roman" w:hAnsi="Times New Roman" w:eastAsia="仿宋" w:cs="仿宋"/>
          <w:i w:val="0"/>
          <w:iCs w:val="0"/>
          <w:caps w:val="0"/>
          <w:color w:val="auto"/>
          <w:spacing w:val="0"/>
          <w:kern w:val="0"/>
          <w:sz w:val="32"/>
          <w:szCs w:val="32"/>
          <w:highlight w:val="none"/>
          <w:shd w:val="clear" w:color="auto" w:fill="FFFFFF"/>
          <w:vertAlign w:val="baseline"/>
          <w:lang w:val="en-US" w:eastAsia="zh-CN" w:bidi="ar"/>
        </w:rPr>
        <w:t>授权运营协议的执行情况进行评估审查，</w:t>
      </w:r>
      <w:r>
        <w:rPr>
          <w:rFonts w:hint="eastAsia" w:ascii="Times New Roman" w:hAnsi="Times New Roman" w:eastAsia="仿宋" w:cs="仿宋"/>
          <w:b w:val="0"/>
          <w:bCs w:val="0"/>
          <w:color w:val="auto"/>
          <w:sz w:val="32"/>
          <w:szCs w:val="32"/>
          <w:highlight w:val="none"/>
          <w:lang w:val="en-US" w:eastAsia="zh-CN"/>
        </w:rPr>
        <w:t>系统评估公共数据资源授权运营工作在优化公共治理、助力公益事业发展、赋能数字产业升级等方面的实际成效与综合带动作用。</w:t>
      </w:r>
    </w:p>
    <w:p w14:paraId="6A36740C">
      <w:pPr>
        <w:keepNext w:val="0"/>
        <w:keepLines w:val="0"/>
        <w:pageBreakBefore w:val="0"/>
        <w:numPr>
          <w:ilvl w:val="0"/>
          <w:numId w:val="0"/>
        </w:numPr>
        <w:kinsoku/>
        <w:wordWrap/>
        <w:overflowPunct/>
        <w:topLinePunct w:val="0"/>
        <w:autoSpaceDE/>
        <w:autoSpaceDN/>
        <w:bidi w:val="0"/>
        <w:adjustRightInd/>
        <w:snapToGrid/>
        <w:spacing w:line="576" w:lineRule="exact"/>
        <w:ind w:firstLine="640" w:firstLineChars="200"/>
        <w:textAlignment w:val="auto"/>
        <w:outlineLvl w:val="1"/>
        <w:rPr>
          <w:rFonts w:hint="eastAsia" w:ascii="楷体" w:hAnsi="楷体" w:eastAsia="楷体" w:cs="楷体"/>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（六）退出机制</w:t>
      </w:r>
    </w:p>
    <w:p w14:paraId="3B4B9F7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Fonts w:hint="eastAsia" w:ascii="Times New Roman" w:hAnsi="Times New Roman" w:eastAsia="仿宋" w:cs="仿宋"/>
          <w:b w:val="0"/>
          <w:bCs w:val="0"/>
          <w:color w:val="auto"/>
          <w:sz w:val="32"/>
          <w:szCs w:val="32"/>
          <w:highlight w:val="none"/>
          <w:lang w:val="en-US" w:eastAsia="zh-CN"/>
        </w:rPr>
      </w:pPr>
      <w:r>
        <w:rPr>
          <w:rFonts w:hint="eastAsia" w:ascii="Times New Roman" w:hAnsi="Times New Roman" w:eastAsia="仿宋" w:cs="仿宋"/>
          <w:b w:val="0"/>
          <w:bCs w:val="0"/>
          <w:color w:val="auto"/>
          <w:sz w:val="32"/>
          <w:szCs w:val="32"/>
          <w:highlight w:val="none"/>
          <w:lang w:val="en-US" w:eastAsia="zh-CN"/>
        </w:rPr>
        <w:t>运营机构存在授权期限届满或提前终止、违规整改不力、受到重大处罚、发生违规禁止行为及其他不适宜运营情形的，实施机构应终止或解除授权运营协议。运营机构应全量留存操作日志归档备查，</w:t>
      </w:r>
      <w:r>
        <w:rPr>
          <w:rFonts w:hint="eastAsia" w:ascii="Times New Roman" w:hAnsi="Times New Roman" w:eastAsia="仿宋" w:cs="仿宋"/>
          <w:sz w:val="32"/>
          <w:szCs w:val="32"/>
        </w:rPr>
        <w:t>运营机构应确保交割期间已有服务的平稳过渡，妥善移交相关业务和数据，避免因退出造成服务中断或数据安全隐患</w:t>
      </w:r>
      <w:r>
        <w:rPr>
          <w:rFonts w:hint="eastAsia" w:ascii="Times New Roman" w:hAnsi="Times New Roman" w:eastAsia="仿宋" w:cs="仿宋"/>
          <w:sz w:val="32"/>
          <w:szCs w:val="32"/>
          <w:lang w:eastAsia="zh-CN"/>
        </w:rPr>
        <w:t>。</w:t>
      </w:r>
      <w:r>
        <w:rPr>
          <w:rFonts w:hint="eastAsia" w:ascii="Times New Roman" w:hAnsi="Times New Roman" w:eastAsia="仿宋" w:cs="仿宋"/>
          <w:b w:val="0"/>
          <w:bCs w:val="0"/>
          <w:color w:val="auto"/>
          <w:sz w:val="32"/>
          <w:szCs w:val="32"/>
          <w:highlight w:val="none"/>
          <w:lang w:val="en-US" w:eastAsia="zh-CN"/>
        </w:rPr>
        <w:t>实施机构应加强对运营机构的退出管理，并将有关情况及时报市政数局。</w:t>
      </w:r>
    </w:p>
    <w:p w14:paraId="0BCFEF96">
      <w:pPr>
        <w:keepNext w:val="0"/>
        <w:keepLines w:val="0"/>
        <w:pageBreakBefore w:val="0"/>
        <w:numPr>
          <w:ilvl w:val="0"/>
          <w:numId w:val="0"/>
        </w:numPr>
        <w:kinsoku/>
        <w:wordWrap/>
        <w:overflowPunct/>
        <w:topLinePunct w:val="0"/>
        <w:autoSpaceDE/>
        <w:autoSpaceDN/>
        <w:bidi w:val="0"/>
        <w:adjustRightInd/>
        <w:snapToGrid/>
        <w:spacing w:line="576" w:lineRule="exact"/>
        <w:ind w:firstLine="640" w:firstLineChars="200"/>
        <w:textAlignment w:val="auto"/>
        <w:outlineLvl w:val="1"/>
        <w:rPr>
          <w:rFonts w:hint="eastAsia" w:ascii="楷体" w:hAnsi="楷体" w:eastAsia="楷体" w:cs="楷体"/>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（七）资产管理</w:t>
      </w:r>
    </w:p>
    <w:p w14:paraId="66564CE9">
      <w:pPr>
        <w:keepNext w:val="0"/>
        <w:keepLines w:val="0"/>
        <w:pageBreakBefore w:val="0"/>
        <w:widowControl w:val="0"/>
        <w:kinsoku/>
        <w:wordWrap/>
        <w:overflowPunct/>
        <w:topLinePunct w:val="0"/>
        <w:autoSpaceDE/>
        <w:autoSpaceDN/>
        <w:bidi w:val="0"/>
        <w:adjustRightInd/>
        <w:snapToGrid/>
        <w:spacing w:line="576" w:lineRule="exact"/>
        <w:ind w:firstLine="640"/>
        <w:textAlignment w:val="auto"/>
        <w:rPr>
          <w:rStyle w:val="12"/>
          <w:rFonts w:hint="eastAsia" w:ascii="Times New Roman" w:hAnsi="Times New Roman" w:eastAsia="仿宋" w:cs="仿宋"/>
          <w:b w:val="0"/>
          <w:bCs w:val="0"/>
          <w:color w:val="000000"/>
          <w:sz w:val="32"/>
          <w:szCs w:val="32"/>
          <w:highlight w:val="none"/>
          <w:lang w:eastAsia="zh-CN"/>
        </w:rPr>
      </w:pPr>
      <w:r>
        <w:rPr>
          <w:rFonts w:hint="eastAsia" w:ascii="Times New Roman" w:hAnsi="Times New Roman" w:eastAsia="仿宋" w:cs="仿宋"/>
          <w:b w:val="0"/>
          <w:bCs w:val="0"/>
          <w:color w:val="auto"/>
          <w:kern w:val="0"/>
          <w:sz w:val="32"/>
          <w:szCs w:val="32"/>
          <w:highlight w:val="none"/>
          <w:lang w:val="en-US" w:eastAsia="zh-CN" w:bidi="ar"/>
        </w:rPr>
        <w:t>授权运营期间，运营机构仅享有授权范围内的数据加工使用权、数据产品经营权。</w:t>
      </w:r>
      <w:r>
        <w:rPr>
          <w:rFonts w:hint="eastAsia" w:ascii="Times New Roman" w:hAnsi="Times New Roman" w:eastAsia="仿宋" w:cs="仿宋"/>
          <w:b w:val="0"/>
          <w:bCs w:val="0"/>
          <w:color w:val="auto"/>
          <w:sz w:val="32"/>
          <w:szCs w:val="32"/>
          <w:highlight w:val="none"/>
          <w:lang w:val="en-US" w:eastAsia="zh-CN"/>
        </w:rPr>
        <w:t>市财政局加强对行政事业单位数据资产的统筹管理，逐步建立健全数据资产管理制度及机制，并负责组织实施和监督检查。</w:t>
      </w:r>
    </w:p>
    <w:p w14:paraId="00D7F9F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Style w:val="12"/>
          <w:rFonts w:hint="eastAsia" w:ascii="黑体" w:hAnsi="黑体" w:eastAsia="黑体" w:cs="黑体"/>
          <w:b w:val="0"/>
          <w:bCs/>
          <w:color w:val="auto"/>
          <w:sz w:val="32"/>
          <w:szCs w:val="32"/>
          <w:highlight w:val="none"/>
          <w:lang w:val="en-US" w:eastAsia="zh-CN"/>
        </w:rPr>
      </w:pPr>
      <w:r>
        <w:rPr>
          <w:rStyle w:val="12"/>
          <w:rFonts w:hint="eastAsia" w:ascii="黑体" w:hAnsi="黑体" w:eastAsia="黑体" w:cs="黑体"/>
          <w:b w:val="0"/>
          <w:bCs/>
          <w:color w:val="auto"/>
          <w:sz w:val="32"/>
          <w:szCs w:val="32"/>
          <w:highlight w:val="none"/>
          <w:lang w:val="en-US" w:eastAsia="zh-CN"/>
        </w:rPr>
        <w:t>七、数据产品和服务清单</w:t>
      </w:r>
    </w:p>
    <w:p w14:paraId="0E2F51B2">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0" w:firstLineChars="200"/>
        <w:textAlignment w:val="auto"/>
        <w:rPr>
          <w:rStyle w:val="12"/>
          <w:rFonts w:hint="eastAsia" w:ascii="Times New Roman" w:hAnsi="Times New Roman" w:eastAsia="仿宋" w:cs="仿宋"/>
          <w:b w:val="0"/>
          <w:bCs w:val="0"/>
          <w:color w:val="auto"/>
          <w:sz w:val="32"/>
          <w:szCs w:val="32"/>
          <w:highlight w:val="none"/>
          <w:lang w:eastAsia="zh-CN"/>
        </w:rPr>
      </w:pPr>
      <w:r>
        <w:rPr>
          <w:rFonts w:hint="eastAsia" w:ascii="Times New Roman" w:hAnsi="Times New Roman" w:eastAsia="仿宋" w:cs="仿宋"/>
          <w:color w:val="auto"/>
          <w:kern w:val="2"/>
          <w:sz w:val="32"/>
          <w:szCs w:val="32"/>
          <w:highlight w:val="none"/>
          <w:lang w:val="en-US" w:eastAsia="zh-CN" w:bidi="ar-SA"/>
        </w:rPr>
        <w:t>公共数据产品和服务划分为公共治理与公益服务、产业与行业发展两大类别，公共数据产品和服务清单实行动态更新机制，运营机构可结合应用需求，向实施机构提出清单扩展申请。详见《通化市拟提供的公共数据产品和服务清单</w:t>
      </w:r>
      <w:r>
        <w:rPr>
          <w:rFonts w:hint="eastAsia" w:ascii="Times New Roman" w:hAnsi="Times New Roman" w:eastAsia="仿宋" w:cs="仿宋"/>
          <w:color w:val="auto"/>
          <w:kern w:val="2"/>
          <w:sz w:val="32"/>
          <w:szCs w:val="32"/>
          <w:highlight w:val="none"/>
          <w:lang w:val="en-US" w:eastAsia="zh" w:bidi="ar-SA"/>
        </w:rPr>
        <w:t>（</w:t>
      </w:r>
      <w:r>
        <w:rPr>
          <w:rFonts w:hint="eastAsia" w:ascii="Times New Roman" w:hAnsi="Times New Roman" w:eastAsia="仿宋" w:cs="仿宋"/>
          <w:color w:val="auto"/>
          <w:kern w:val="2"/>
          <w:sz w:val="32"/>
          <w:szCs w:val="32"/>
          <w:highlight w:val="none"/>
          <w:lang w:val="en-US" w:eastAsia="zh-CN" w:bidi="ar-SA"/>
        </w:rPr>
        <w:t>第一批</w:t>
      </w:r>
      <w:r>
        <w:rPr>
          <w:rFonts w:hint="eastAsia" w:ascii="Times New Roman" w:hAnsi="Times New Roman" w:eastAsia="仿宋" w:cs="仿宋"/>
          <w:color w:val="auto"/>
          <w:kern w:val="2"/>
          <w:sz w:val="32"/>
          <w:szCs w:val="32"/>
          <w:highlight w:val="none"/>
          <w:lang w:val="en-US" w:eastAsia="zh" w:bidi="ar-SA"/>
        </w:rPr>
        <w:t>）</w:t>
      </w:r>
      <w:r>
        <w:rPr>
          <w:rFonts w:hint="eastAsia" w:ascii="Times New Roman" w:hAnsi="Times New Roman" w:eastAsia="仿宋" w:cs="仿宋"/>
          <w:color w:val="auto"/>
          <w:kern w:val="2"/>
          <w:sz w:val="32"/>
          <w:szCs w:val="32"/>
          <w:highlight w:val="none"/>
          <w:lang w:val="en-US" w:eastAsia="zh-CN" w:bidi="ar-SA"/>
        </w:rPr>
        <w:t>》（附件2）。</w:t>
      </w:r>
    </w:p>
    <w:p w14:paraId="72BF29A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Style w:val="12"/>
          <w:rFonts w:hint="eastAsia" w:ascii="Times New Roman" w:hAnsi="Times New Roman" w:eastAsia="仿宋" w:cs="仿宋"/>
          <w:b w:val="0"/>
          <w:bCs/>
          <w:color w:val="auto"/>
          <w:sz w:val="32"/>
          <w:szCs w:val="32"/>
          <w:highlight w:val="none"/>
          <w:lang w:val="en-US" w:eastAsia="zh-CN"/>
        </w:rPr>
      </w:pPr>
      <w:r>
        <w:rPr>
          <w:rStyle w:val="12"/>
          <w:rFonts w:hint="eastAsia" w:ascii="黑体" w:hAnsi="黑体" w:eastAsia="黑体" w:cs="黑体"/>
          <w:b w:val="0"/>
          <w:bCs/>
          <w:color w:val="auto"/>
          <w:sz w:val="32"/>
          <w:szCs w:val="32"/>
          <w:highlight w:val="none"/>
          <w:lang w:val="en-US" w:eastAsia="zh-CN"/>
        </w:rPr>
        <w:t>八、定价与收益分配</w:t>
      </w:r>
    </w:p>
    <w:p w14:paraId="1EAAE8F8">
      <w:pPr>
        <w:keepNext w:val="0"/>
        <w:keepLines w:val="0"/>
        <w:pageBreakBefore w:val="0"/>
        <w:numPr>
          <w:ilvl w:val="0"/>
          <w:numId w:val="0"/>
        </w:numPr>
        <w:kinsoku/>
        <w:wordWrap/>
        <w:overflowPunct/>
        <w:topLinePunct w:val="0"/>
        <w:autoSpaceDE/>
        <w:autoSpaceDN/>
        <w:bidi w:val="0"/>
        <w:adjustRightInd/>
        <w:snapToGrid/>
        <w:spacing w:line="576" w:lineRule="exact"/>
        <w:ind w:firstLine="640" w:firstLineChars="200"/>
        <w:textAlignment w:val="auto"/>
        <w:outlineLvl w:val="1"/>
        <w:rPr>
          <w:rFonts w:hint="eastAsia" w:ascii="楷体" w:hAnsi="楷体" w:eastAsia="楷体" w:cs="楷体"/>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（一）产品定价</w:t>
      </w:r>
    </w:p>
    <w:p w14:paraId="6D9A0EA9">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Fonts w:hint="eastAsia" w:ascii="Times New Roman" w:hAnsi="Times New Roman" w:eastAsia="仿宋" w:cs="仿宋"/>
          <w:b w:val="0"/>
          <w:bCs w:val="0"/>
          <w:color w:val="auto"/>
          <w:sz w:val="32"/>
          <w:szCs w:val="32"/>
          <w:highlight w:val="none"/>
          <w:lang w:eastAsia="zh-CN"/>
        </w:rPr>
      </w:pPr>
      <w:r>
        <w:rPr>
          <w:rFonts w:hint="eastAsia" w:ascii="Times New Roman" w:hAnsi="Times New Roman" w:eastAsia="仿宋" w:cs="仿宋"/>
          <w:b w:val="0"/>
          <w:bCs w:val="0"/>
          <w:color w:val="auto"/>
          <w:sz w:val="32"/>
          <w:szCs w:val="32"/>
          <w:highlight w:val="none"/>
          <w:lang w:eastAsia="zh-CN"/>
        </w:rPr>
        <w:t>公共数据运营服务费实行政府指导价管理。</w:t>
      </w:r>
      <w:r>
        <w:rPr>
          <w:rFonts w:hint="eastAsia" w:ascii="Times New Roman" w:hAnsi="Times New Roman" w:eastAsia="仿宋" w:cs="仿宋"/>
          <w:b w:val="0"/>
          <w:bCs w:val="0"/>
          <w:color w:val="auto"/>
          <w:sz w:val="32"/>
          <w:szCs w:val="32"/>
          <w:highlight w:val="none"/>
        </w:rPr>
        <w:t>运营机构提供的公共数据产品和服务，用于公共治理、公益事业的，免费提供；用于产业发展、行业发展的，</w:t>
      </w:r>
      <w:r>
        <w:rPr>
          <w:rFonts w:hint="eastAsia" w:ascii="Times New Roman" w:hAnsi="Times New Roman" w:eastAsia="仿宋" w:cs="仿宋"/>
          <w:sz w:val="32"/>
          <w:szCs w:val="32"/>
          <w:highlight w:val="none"/>
          <w:lang w:eastAsia="zh-CN"/>
        </w:rPr>
        <w:t>市</w:t>
      </w:r>
      <w:r>
        <w:rPr>
          <w:rFonts w:hint="eastAsia" w:ascii="Times New Roman" w:hAnsi="Times New Roman" w:eastAsia="仿宋" w:cs="仿宋"/>
          <w:sz w:val="32"/>
          <w:szCs w:val="32"/>
          <w:highlight w:val="none"/>
        </w:rPr>
        <w:t>发改</w:t>
      </w:r>
      <w:r>
        <w:rPr>
          <w:rFonts w:hint="eastAsia" w:ascii="Times New Roman" w:hAnsi="Times New Roman" w:eastAsia="仿宋" w:cs="仿宋"/>
          <w:sz w:val="32"/>
          <w:szCs w:val="32"/>
          <w:highlight w:val="none"/>
          <w:lang w:eastAsia="zh-CN"/>
        </w:rPr>
        <w:t>委</w:t>
      </w:r>
      <w:r>
        <w:rPr>
          <w:rFonts w:hint="eastAsia" w:ascii="Times New Roman" w:hAnsi="Times New Roman" w:eastAsia="仿宋" w:cs="仿宋"/>
          <w:sz w:val="32"/>
          <w:szCs w:val="32"/>
          <w:highlight w:val="none"/>
        </w:rPr>
        <w:t>会同</w:t>
      </w:r>
      <w:r>
        <w:rPr>
          <w:rFonts w:hint="eastAsia" w:ascii="Times New Roman" w:hAnsi="Times New Roman" w:eastAsia="仿宋" w:cs="仿宋"/>
          <w:sz w:val="32"/>
          <w:szCs w:val="32"/>
          <w:highlight w:val="none"/>
          <w:lang w:eastAsia="zh-CN"/>
        </w:rPr>
        <w:t>市政数局</w:t>
      </w:r>
      <w:r>
        <w:rPr>
          <w:rFonts w:hint="eastAsia" w:ascii="Times New Roman" w:hAnsi="Times New Roman" w:eastAsia="仿宋" w:cs="仿宋"/>
          <w:sz w:val="32"/>
          <w:szCs w:val="32"/>
          <w:highlight w:val="none"/>
        </w:rPr>
        <w:t>按照国家</w:t>
      </w:r>
      <w:r>
        <w:rPr>
          <w:rFonts w:hint="eastAsia" w:ascii="Times New Roman" w:hAnsi="Times New Roman" w:eastAsia="仿宋" w:cs="仿宋"/>
          <w:sz w:val="32"/>
          <w:szCs w:val="32"/>
          <w:highlight w:val="none"/>
          <w:lang w:eastAsia="zh-CN"/>
        </w:rPr>
        <w:t>、省级相关政策要求</w:t>
      </w:r>
      <w:r>
        <w:rPr>
          <w:rFonts w:hint="eastAsia" w:ascii="Times New Roman" w:hAnsi="Times New Roman" w:eastAsia="仿宋" w:cs="仿宋"/>
          <w:sz w:val="32"/>
          <w:szCs w:val="32"/>
          <w:highlight w:val="none"/>
        </w:rPr>
        <w:t>，</w:t>
      </w:r>
      <w:r>
        <w:rPr>
          <w:rFonts w:hint="eastAsia" w:ascii="Times New Roman" w:hAnsi="Times New Roman" w:eastAsia="仿宋" w:cs="仿宋"/>
          <w:sz w:val="32"/>
          <w:szCs w:val="32"/>
          <w:highlight w:val="none"/>
          <w:lang w:eastAsia="zh-CN"/>
        </w:rPr>
        <w:t>遵循</w:t>
      </w:r>
      <w:r>
        <w:rPr>
          <w:rFonts w:hint="eastAsia" w:ascii="Times New Roman" w:hAnsi="Times New Roman" w:eastAsia="仿宋" w:cs="仿宋"/>
          <w:sz w:val="32"/>
          <w:szCs w:val="32"/>
          <w:highlight w:val="none"/>
        </w:rPr>
        <w:t>“补偿成本、合理盈利”的原则核定最高准许收入</w:t>
      </w:r>
      <w:r>
        <w:rPr>
          <w:rFonts w:hint="eastAsia" w:ascii="Times New Roman" w:hAnsi="Times New Roman" w:eastAsia="仿宋" w:cs="仿宋"/>
          <w:sz w:val="32"/>
          <w:szCs w:val="32"/>
          <w:highlight w:val="none"/>
          <w:lang w:eastAsia="zh-CN"/>
        </w:rPr>
        <w:t>；在最高准许收入范围内，由实施机构会同数源单位制定各类产品和服务的上限收费标准；运营机构在上限收费标准范围内，确定具体收费标准。</w:t>
      </w:r>
    </w:p>
    <w:p w14:paraId="0305E058">
      <w:pPr>
        <w:keepNext w:val="0"/>
        <w:keepLines w:val="0"/>
        <w:pageBreakBefore w:val="0"/>
        <w:numPr>
          <w:ilvl w:val="0"/>
          <w:numId w:val="0"/>
        </w:numPr>
        <w:kinsoku/>
        <w:wordWrap/>
        <w:overflowPunct/>
        <w:topLinePunct w:val="0"/>
        <w:autoSpaceDE/>
        <w:autoSpaceDN/>
        <w:bidi w:val="0"/>
        <w:adjustRightInd/>
        <w:snapToGrid/>
        <w:spacing w:line="576" w:lineRule="exact"/>
        <w:ind w:firstLine="640" w:firstLineChars="200"/>
        <w:textAlignment w:val="auto"/>
        <w:outlineLvl w:val="1"/>
        <w:rPr>
          <w:rFonts w:hint="eastAsia" w:ascii="楷体" w:hAnsi="楷体" w:eastAsia="楷体" w:cs="楷体"/>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（二）收益分配</w:t>
      </w:r>
    </w:p>
    <w:p w14:paraId="50EACFEA">
      <w:pPr>
        <w:pStyle w:val="6"/>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576" w:lineRule="exact"/>
        <w:ind w:right="0" w:rightChars="0" w:firstLine="640" w:firstLineChars="200"/>
        <w:textAlignment w:val="auto"/>
        <w:rPr>
          <w:rFonts w:hint="eastAsia" w:ascii="Times New Roman" w:hAnsi="Times New Roman" w:eastAsia="仿宋" w:cs="仿宋"/>
          <w:b w:val="0"/>
          <w:bCs w:val="0"/>
          <w:color w:val="auto"/>
          <w:sz w:val="32"/>
          <w:szCs w:val="32"/>
          <w:highlight w:val="none"/>
          <w:lang w:val="en-US" w:eastAsia="zh-CN"/>
        </w:rPr>
      </w:pPr>
      <w:r>
        <w:rPr>
          <w:rFonts w:hint="eastAsia" w:ascii="Times New Roman" w:hAnsi="Times New Roman" w:eastAsia="仿宋" w:cs="仿宋"/>
          <w:color w:val="auto"/>
          <w:sz w:val="32"/>
          <w:szCs w:val="32"/>
          <w:highlight w:val="none"/>
          <w:lang w:val="en-US" w:eastAsia="zh-CN"/>
        </w:rPr>
        <w:t>按照“谁投入、谁贡献、谁受益”原则，依法依规维护各相关主体权益，由数源单位与运营机构以协议形式约定收益分配比例，相关收益由市财政局统筹，重点用于支持数源单位数据资源治理、数据资产管理等相关领域。</w:t>
      </w:r>
    </w:p>
    <w:p w14:paraId="5D0BC19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Style w:val="12"/>
          <w:rFonts w:hint="eastAsia" w:ascii="黑体" w:hAnsi="黑体" w:eastAsia="黑体" w:cs="黑体"/>
          <w:b w:val="0"/>
          <w:bCs/>
          <w:color w:val="auto"/>
          <w:sz w:val="32"/>
          <w:szCs w:val="32"/>
          <w:highlight w:val="none"/>
          <w:lang w:val="en-US" w:eastAsia="zh-CN"/>
        </w:rPr>
      </w:pPr>
      <w:r>
        <w:rPr>
          <w:rStyle w:val="12"/>
          <w:rFonts w:hint="eastAsia" w:ascii="黑体" w:hAnsi="黑体" w:eastAsia="黑体" w:cs="黑体"/>
          <w:b w:val="0"/>
          <w:bCs/>
          <w:color w:val="auto"/>
          <w:sz w:val="32"/>
          <w:szCs w:val="32"/>
          <w:highlight w:val="none"/>
          <w:lang w:val="en-US" w:eastAsia="zh-CN"/>
        </w:rPr>
        <w:t>九、安全管理与应急处置</w:t>
      </w:r>
    </w:p>
    <w:p w14:paraId="413538CC">
      <w:pPr>
        <w:pStyle w:val="2"/>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 w:cs="仿宋"/>
          <w:b w:val="0"/>
          <w:bCs w:val="0"/>
          <w:color w:val="auto"/>
          <w:sz w:val="32"/>
          <w:szCs w:val="32"/>
          <w:highlight w:val="none"/>
          <w:lang w:val="en-US" w:eastAsia="zh-CN"/>
        </w:rPr>
      </w:pPr>
      <w:r>
        <w:rPr>
          <w:rFonts w:hint="eastAsia" w:ascii="楷体" w:hAnsi="楷体" w:eastAsia="楷体" w:cs="楷体"/>
          <w:b w:val="0"/>
          <w:bCs w:val="0"/>
          <w:color w:val="auto"/>
          <w:kern w:val="2"/>
          <w:sz w:val="32"/>
          <w:szCs w:val="32"/>
          <w:highlight w:val="none"/>
          <w:lang w:val="en-US" w:eastAsia="zh-CN" w:bidi="ar-SA"/>
        </w:rPr>
        <w:t>（一）安全责任制。</w:t>
      </w:r>
      <w:r>
        <w:rPr>
          <w:rFonts w:hint="eastAsia" w:ascii="Times New Roman" w:hAnsi="Times New Roman" w:eastAsia="仿宋" w:cs="仿宋"/>
          <w:b w:val="0"/>
          <w:bCs w:val="0"/>
          <w:color w:val="auto"/>
          <w:sz w:val="32"/>
          <w:szCs w:val="32"/>
          <w:highlight w:val="none"/>
          <w:lang w:val="en-US" w:eastAsia="zh-CN"/>
        </w:rPr>
        <w:t>公共数据资源授权运营严格遵循“谁持有谁负责、谁管理谁负责、谁使用谁负责、谁运营谁负责”的要求，落实各方主体安全责任，推动公共数据有序流通利用。</w:t>
      </w:r>
    </w:p>
    <w:p w14:paraId="59992503">
      <w:pPr>
        <w:pStyle w:val="2"/>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 w:cs="仿宋"/>
          <w:b w:val="0"/>
          <w:bCs w:val="0"/>
          <w:color w:val="auto"/>
          <w:sz w:val="32"/>
          <w:szCs w:val="32"/>
          <w:highlight w:val="none"/>
          <w:lang w:val="en-US" w:eastAsia="zh-CN"/>
        </w:rPr>
      </w:pPr>
      <w:r>
        <w:rPr>
          <w:rFonts w:hint="eastAsia" w:ascii="楷体" w:hAnsi="楷体" w:eastAsia="楷体" w:cs="楷体"/>
          <w:b w:val="0"/>
          <w:bCs w:val="0"/>
          <w:color w:val="auto"/>
          <w:kern w:val="2"/>
          <w:sz w:val="32"/>
          <w:szCs w:val="32"/>
          <w:highlight w:val="none"/>
          <w:lang w:val="en-US" w:eastAsia="zh-CN" w:bidi="ar-SA"/>
        </w:rPr>
        <w:t>（二）数据安全保障。</w:t>
      </w:r>
      <w:r>
        <w:rPr>
          <w:rFonts w:hint="eastAsia" w:ascii="Times New Roman" w:hAnsi="Times New Roman" w:eastAsia="仿宋" w:cs="仿宋"/>
          <w:b w:val="0"/>
          <w:bCs w:val="0"/>
          <w:color w:val="auto"/>
          <w:sz w:val="32"/>
          <w:szCs w:val="32"/>
          <w:highlight w:val="none"/>
          <w:lang w:val="en-US" w:eastAsia="zh-CN"/>
        </w:rPr>
        <w:t>实施机构建立健全管理制度，明确数据分类分级安全保护要求，加强技术支撑保障和数据安全管理，严格管控未依法依规公开的原始公共数据资源直接进入市场，强化对运营机构涉及公共数据授权运营的内控审计。运营机构履行数据安全主体责任，加强内控管理、技术管理和人员管理，不得超出授权范围使用公共数据资源，严防数据加工、处理、运营、服务等环节数据安全风险。</w:t>
      </w:r>
    </w:p>
    <w:p w14:paraId="7AC009C1">
      <w:pPr>
        <w:pStyle w:val="34"/>
        <w:keepNext w:val="0"/>
        <w:keepLines w:val="0"/>
        <w:pageBreakBefore w:val="0"/>
        <w:numPr>
          <w:ilvl w:val="0"/>
          <w:numId w:val="0"/>
        </w:numPr>
        <w:kinsoku/>
        <w:overflowPunct w:val="0"/>
        <w:autoSpaceDE/>
        <w:autoSpaceDN/>
        <w:bidi w:val="0"/>
        <w:adjustRightInd/>
        <w:snapToGrid/>
        <w:spacing w:after="0" w:line="576" w:lineRule="exact"/>
        <w:ind w:firstLine="640" w:firstLineChars="200"/>
        <w:textAlignment w:val="auto"/>
        <w:rPr>
          <w:rFonts w:hint="eastAsia" w:ascii="Times New Roman" w:hAnsi="Times New Roman" w:eastAsia="仿宋" w:cs="仿宋"/>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（三）应急处置预案。</w:t>
      </w:r>
      <w:r>
        <w:rPr>
          <w:rFonts w:hint="eastAsia" w:ascii="Times New Roman" w:hAnsi="Times New Roman" w:eastAsia="仿宋" w:cs="仿宋"/>
          <w:b w:val="0"/>
          <w:bCs w:val="0"/>
          <w:color w:val="auto"/>
          <w:kern w:val="2"/>
          <w:sz w:val="32"/>
          <w:szCs w:val="32"/>
          <w:highlight w:val="none"/>
          <w:lang w:val="en-US" w:eastAsia="zh-CN" w:bidi="ar-SA"/>
        </w:rPr>
        <w:t>运营机构应当制定数据安全事件应急处置预案，并定期组织演练，发生数据安全事件或发现重大风险时，应当立即启动应急处置预案，采取相应的应急处置措施，防止危害扩大，消除安全隐患，并向实施机构及相关主管部门报告。</w:t>
      </w:r>
    </w:p>
    <w:p w14:paraId="736BA7F3">
      <w:pPr>
        <w:pStyle w:val="2"/>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 w:cs="仿宋"/>
          <w:b w:val="0"/>
          <w:bCs w:val="0"/>
          <w:color w:val="auto"/>
          <w:sz w:val="32"/>
          <w:szCs w:val="32"/>
          <w:highlight w:val="none"/>
          <w:lang w:val="en-US" w:eastAsia="zh-CN"/>
        </w:rPr>
      </w:pPr>
      <w:r>
        <w:rPr>
          <w:rFonts w:hint="eastAsia" w:ascii="楷体" w:hAnsi="楷体" w:eastAsia="楷体" w:cs="楷体"/>
          <w:b w:val="0"/>
          <w:bCs w:val="0"/>
          <w:color w:val="auto"/>
          <w:kern w:val="2"/>
          <w:sz w:val="32"/>
          <w:szCs w:val="32"/>
          <w:highlight w:val="none"/>
          <w:lang w:val="en-US" w:eastAsia="zh-CN" w:bidi="ar-SA"/>
        </w:rPr>
        <w:t>（四）个人信息保护措施。</w:t>
      </w:r>
      <w:r>
        <w:rPr>
          <w:rFonts w:hint="eastAsia" w:ascii="Times New Roman" w:hAnsi="Times New Roman" w:eastAsia="仿宋" w:cs="仿宋"/>
          <w:b w:val="0"/>
          <w:bCs w:val="0"/>
          <w:color w:val="auto"/>
          <w:sz w:val="32"/>
          <w:szCs w:val="32"/>
          <w:highlight w:val="none"/>
          <w:lang w:val="en-US" w:eastAsia="zh-CN"/>
        </w:rPr>
        <w:t>运营机构应严格落实《中华人民共和国个人信息保护法》相关规定，对涉及个人信息的数据进行去标识化、匿名化处理，严格限制原始个人信息的使用场景，遵循最小必要原则开展数据处理活动。</w:t>
      </w:r>
    </w:p>
    <w:p w14:paraId="4D946A8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Style w:val="12"/>
          <w:rFonts w:hint="eastAsia" w:ascii="黑体" w:hAnsi="黑体" w:eastAsia="黑体" w:cs="黑体"/>
          <w:b w:val="0"/>
          <w:bCs/>
          <w:color w:val="auto"/>
          <w:sz w:val="32"/>
          <w:szCs w:val="32"/>
          <w:highlight w:val="none"/>
          <w:lang w:val="en-US" w:eastAsia="zh-CN"/>
        </w:rPr>
      </w:pPr>
      <w:r>
        <w:rPr>
          <w:rStyle w:val="12"/>
          <w:rFonts w:hint="eastAsia" w:ascii="黑体" w:hAnsi="黑体" w:eastAsia="黑体" w:cs="黑体"/>
          <w:b w:val="0"/>
          <w:bCs/>
          <w:color w:val="auto"/>
          <w:sz w:val="32"/>
          <w:szCs w:val="32"/>
          <w:highlight w:val="none"/>
          <w:lang w:val="en-US" w:eastAsia="zh-CN"/>
        </w:rPr>
        <w:t>十、职责分工</w:t>
      </w:r>
    </w:p>
    <w:p w14:paraId="7ACC9FB8">
      <w:pPr>
        <w:keepNext w:val="0"/>
        <w:keepLines w:val="0"/>
        <w:pageBreakBefore w:val="0"/>
        <w:widowControl/>
        <w:suppressLineNumbers w:val="0"/>
        <w:kinsoku/>
        <w:overflowPunct/>
        <w:autoSpaceDE/>
        <w:autoSpaceDN/>
        <w:bidi w:val="0"/>
        <w:adjustRightInd/>
        <w:snapToGrid/>
        <w:spacing w:line="576" w:lineRule="exact"/>
        <w:ind w:firstLine="640" w:firstLineChars="200"/>
        <w:jc w:val="left"/>
        <w:textAlignment w:val="auto"/>
        <w:rPr>
          <w:rFonts w:hint="eastAsia" w:ascii="Times New Roman" w:hAnsi="Times New Roman" w:eastAsia="仿宋" w:cs="仿宋"/>
          <w:sz w:val="32"/>
          <w:szCs w:val="32"/>
          <w:highlight w:val="yellow"/>
        </w:rPr>
      </w:pPr>
      <w:r>
        <w:rPr>
          <w:rFonts w:hint="eastAsia" w:ascii="楷体" w:hAnsi="楷体" w:eastAsia="楷体" w:cs="楷体"/>
          <w:b w:val="0"/>
          <w:bCs w:val="0"/>
          <w:color w:val="auto"/>
          <w:kern w:val="2"/>
          <w:sz w:val="32"/>
          <w:szCs w:val="32"/>
          <w:highlight w:val="none"/>
          <w:lang w:val="en-US" w:eastAsia="zh-CN" w:bidi="ar-SA"/>
        </w:rPr>
        <w:t>（一）实施机构。</w:t>
      </w:r>
      <w:r>
        <w:rPr>
          <w:rFonts w:hint="eastAsia" w:ascii="Times New Roman" w:hAnsi="Times New Roman" w:eastAsia="仿宋" w:cs="仿宋"/>
          <w:b w:val="0"/>
          <w:bCs w:val="0"/>
          <w:color w:val="auto"/>
          <w:kern w:val="2"/>
          <w:sz w:val="32"/>
          <w:szCs w:val="32"/>
          <w:highlight w:val="none"/>
          <w:lang w:val="en-US" w:eastAsia="zh-CN" w:bidi="ar-SA"/>
        </w:rPr>
        <w:t>负责按照市政数局统一部署与制度规范，推进公共数据授权运营落地实施；开展选定运营机构、数据登记、用数申请初审、数据产品合规审查、运营成效评估等事务；依规做好授权运营相关信息公开披露。</w:t>
      </w:r>
    </w:p>
    <w:p w14:paraId="31B6C2E5">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Fonts w:hint="eastAsia" w:ascii="Times New Roman" w:hAnsi="Times New Roman" w:eastAsia="仿宋" w:cs="仿宋"/>
          <w:b w:val="0"/>
          <w:bCs w:val="0"/>
          <w:color w:val="auto"/>
          <w:sz w:val="32"/>
          <w:szCs w:val="32"/>
          <w:highlight w:val="none"/>
          <w:lang w:val="en-US" w:eastAsia="zh-CN"/>
        </w:rPr>
      </w:pPr>
      <w:r>
        <w:rPr>
          <w:rFonts w:hint="eastAsia" w:ascii="楷体" w:hAnsi="楷体" w:eastAsia="楷体" w:cs="楷体"/>
          <w:b w:val="0"/>
          <w:bCs w:val="0"/>
          <w:color w:val="auto"/>
          <w:kern w:val="2"/>
          <w:sz w:val="32"/>
          <w:szCs w:val="32"/>
          <w:highlight w:val="none"/>
          <w:lang w:val="en-US" w:eastAsia="zh-CN" w:bidi="ar-SA"/>
        </w:rPr>
        <w:t>（二）数源单位。</w:t>
      </w:r>
      <w:r>
        <w:rPr>
          <w:rFonts w:hint="eastAsia" w:ascii="Times New Roman" w:hAnsi="Times New Roman" w:eastAsia="仿宋" w:cs="仿宋"/>
          <w:b w:val="0"/>
          <w:bCs w:val="0"/>
          <w:color w:val="auto"/>
          <w:sz w:val="32"/>
          <w:szCs w:val="32"/>
          <w:highlight w:val="none"/>
          <w:lang w:val="en-US" w:eastAsia="zh-CN"/>
        </w:rPr>
        <w:t>负责相关公共数据资源汇聚、更新和治理，公共数据资源目录编制，公共数据资源登记等工作；制定本单位公共数据分级分类标准，明确数据安全级别；参与数据使用审核，加强公共数据资源质量管理，保障所提供数据资源的完整性、及时性和准确性，配合协助实施机构、运营机构提高供数质量；负责数据安全维护、风险评估、合规管理及个人信息保护工作的协调与实施。</w:t>
      </w:r>
    </w:p>
    <w:p w14:paraId="063AA32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Fonts w:hint="eastAsia" w:ascii="Times New Roman" w:hAnsi="Times New Roman" w:eastAsia="仿宋" w:cs="仿宋"/>
          <w:b w:val="0"/>
          <w:bCs w:val="0"/>
          <w:color w:val="auto"/>
          <w:sz w:val="32"/>
          <w:szCs w:val="32"/>
          <w:highlight w:val="none"/>
          <w:lang w:val="en-US" w:eastAsia="zh-CN"/>
        </w:rPr>
      </w:pPr>
      <w:r>
        <w:rPr>
          <w:rFonts w:hint="eastAsia" w:ascii="楷体" w:hAnsi="楷体" w:eastAsia="楷体" w:cs="楷体"/>
          <w:b w:val="0"/>
          <w:bCs w:val="0"/>
          <w:color w:val="auto"/>
          <w:kern w:val="2"/>
          <w:sz w:val="32"/>
          <w:szCs w:val="32"/>
          <w:highlight w:val="none"/>
          <w:lang w:val="en-US" w:eastAsia="zh-CN" w:bidi="ar-SA"/>
        </w:rPr>
        <w:t>（三）运营机构。</w:t>
      </w:r>
      <w:r>
        <w:rPr>
          <w:rFonts w:hint="eastAsia" w:ascii="Times New Roman" w:hAnsi="Times New Roman" w:eastAsia="仿宋" w:cs="仿宋"/>
          <w:b w:val="0"/>
          <w:bCs w:val="0"/>
          <w:color w:val="auto"/>
          <w:kern w:val="2"/>
          <w:sz w:val="32"/>
          <w:szCs w:val="32"/>
          <w:highlight w:val="none"/>
          <w:lang w:val="en-US" w:eastAsia="zh-CN" w:bidi="ar-SA"/>
        </w:rPr>
        <w:t>负责</w:t>
      </w:r>
      <w:r>
        <w:rPr>
          <w:rFonts w:hint="eastAsia" w:ascii="Times New Roman" w:hAnsi="Times New Roman" w:eastAsia="仿宋" w:cs="仿宋"/>
          <w:b w:val="0"/>
          <w:bCs w:val="0"/>
          <w:color w:val="auto"/>
          <w:sz w:val="32"/>
          <w:szCs w:val="32"/>
          <w:highlight w:val="none"/>
          <w:lang w:val="en-US" w:eastAsia="zh-CN"/>
        </w:rPr>
        <w:t>依法依规在授权范围内开展业务，制定数据服务商准入条件和管理规则；建设、运维市公共数据管理平台和公共数据资源授权运营平台，按标准与省级平台对接；按照分级分类标准对公共数据进行清洗、脱敏脱密等预处理；履行数据安全主体责任，加强内控、技术和人员管理，严防数据安全风险；定期向社会披露公共数据资源使用情况，接受社会监督；按照现有财务管理制度，加强公共数据产品和服务相关成本、收入和支出的管理，依法接受监督。</w:t>
      </w:r>
    </w:p>
    <w:p w14:paraId="3A423AF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Fonts w:hint="eastAsia" w:ascii="Times New Roman" w:hAnsi="Times New Roman" w:eastAsia="仿宋" w:cs="仿宋"/>
          <w:b w:val="0"/>
          <w:bCs w:val="0"/>
          <w:color w:val="auto"/>
          <w:sz w:val="32"/>
          <w:szCs w:val="32"/>
          <w:highlight w:val="none"/>
          <w:lang w:val="en-US" w:eastAsia="zh-CN"/>
        </w:rPr>
      </w:pPr>
      <w:r>
        <w:rPr>
          <w:rFonts w:hint="eastAsia" w:ascii="楷体" w:hAnsi="楷体" w:eastAsia="楷体" w:cs="楷体"/>
          <w:b w:val="0"/>
          <w:bCs w:val="0"/>
          <w:color w:val="auto"/>
          <w:kern w:val="2"/>
          <w:sz w:val="32"/>
          <w:szCs w:val="32"/>
          <w:highlight w:val="none"/>
          <w:lang w:val="en-US" w:eastAsia="zh-CN" w:bidi="ar-SA"/>
        </w:rPr>
        <w:t>（四）数据服务商。</w:t>
      </w:r>
      <w:r>
        <w:rPr>
          <w:rFonts w:hint="eastAsia" w:ascii="Times New Roman" w:hAnsi="Times New Roman" w:eastAsia="仿宋" w:cs="仿宋"/>
          <w:b w:val="0"/>
          <w:bCs w:val="0"/>
          <w:color w:val="auto"/>
          <w:kern w:val="2"/>
          <w:sz w:val="32"/>
          <w:szCs w:val="32"/>
          <w:highlight w:val="none"/>
          <w:lang w:val="en-US" w:eastAsia="zh-CN" w:bidi="ar-SA"/>
        </w:rPr>
        <w:t>负责按照与运营机构签订的合作协议内容，结合应用场景和运营工作需求，提供数据产品开发、治理、安全、评估等服务。不得超范围使用、外传、转售、篡改数据，不得通过技术手段还原原始数据，不得危害国家安全、公共利益、他人合法权益。</w:t>
      </w:r>
    </w:p>
    <w:p w14:paraId="79A994C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Style w:val="12"/>
          <w:rFonts w:hint="eastAsia" w:ascii="黑体" w:hAnsi="黑体" w:eastAsia="黑体" w:cs="黑体"/>
          <w:b w:val="0"/>
          <w:bCs/>
          <w:color w:val="auto"/>
          <w:sz w:val="32"/>
          <w:szCs w:val="32"/>
          <w:highlight w:val="none"/>
          <w:lang w:val="en-US" w:eastAsia="zh-CN"/>
        </w:rPr>
      </w:pPr>
      <w:r>
        <w:rPr>
          <w:rStyle w:val="12"/>
          <w:rFonts w:hint="eastAsia" w:ascii="黑体" w:hAnsi="黑体" w:eastAsia="黑体" w:cs="黑体"/>
          <w:b w:val="0"/>
          <w:bCs/>
          <w:color w:val="auto"/>
          <w:sz w:val="32"/>
          <w:szCs w:val="32"/>
          <w:highlight w:val="none"/>
          <w:lang w:val="en-US" w:eastAsia="zh-CN"/>
        </w:rPr>
        <w:t>十一、监督管理与考核评价</w:t>
      </w:r>
    </w:p>
    <w:p w14:paraId="7EDC135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Fonts w:hint="eastAsia" w:ascii="Times New Roman" w:hAnsi="Times New Roman" w:eastAsia="仿宋" w:cs="仿宋"/>
          <w:b w:val="0"/>
          <w:bCs w:val="0"/>
          <w:color w:val="auto"/>
          <w:sz w:val="32"/>
          <w:szCs w:val="32"/>
          <w:highlight w:val="none"/>
          <w:lang w:val="en-US" w:eastAsia="zh-CN"/>
        </w:rPr>
      </w:pPr>
      <w:r>
        <w:rPr>
          <w:rFonts w:hint="eastAsia" w:ascii="楷体" w:hAnsi="楷体" w:eastAsia="楷体" w:cs="楷体"/>
          <w:b w:val="0"/>
          <w:bCs w:val="0"/>
          <w:color w:val="auto"/>
          <w:kern w:val="2"/>
          <w:sz w:val="32"/>
          <w:szCs w:val="32"/>
          <w:highlight w:val="none"/>
          <w:lang w:val="en-US" w:eastAsia="zh-CN" w:bidi="ar-SA"/>
        </w:rPr>
        <w:t>（一）监督管理</w:t>
      </w:r>
      <w:r>
        <w:rPr>
          <w:rFonts w:hint="eastAsia" w:ascii="Times New Roman" w:hAnsi="Times New Roman" w:eastAsia="仿宋" w:cs="仿宋"/>
          <w:b w:val="0"/>
          <w:bCs w:val="0"/>
          <w:color w:val="auto"/>
          <w:sz w:val="32"/>
          <w:szCs w:val="32"/>
          <w:highlight w:val="none"/>
          <w:lang w:val="en-US" w:eastAsia="zh-CN"/>
        </w:rPr>
        <w:t>。市政府成立工作专班，统筹公共数据资源开发利用，研究协调公共数据资源授权运营领域重点问题和重要事项，指导重大任务落实；市政数局负责统筹推进本级公共数据资源授权运营工作，健全完善授权运营制度规范，建立跨部门协调机制，实现公共数据资源授权运营全流程合规监管；市发改委会同市政数局指导运营机构建立健全内部价格管理制度，推动运营机构及时向社会公示数据产品和服务项目清单及相关收费标准；市财政局会同市政数局有效识别和管控数据资产化、数据资产资本化不当操作带来的安全隐患，切实防范化解金融风险；市市场监管局会同有关部门依法</w:t>
      </w:r>
      <w:r>
        <w:rPr>
          <w:rFonts w:hint="eastAsia" w:ascii="Times New Roman" w:hAnsi="Times New Roman" w:eastAsia="仿宋" w:cs="仿宋"/>
          <w:b w:val="0"/>
          <w:bCs w:val="0"/>
          <w:sz w:val="32"/>
          <w:szCs w:val="32"/>
          <w:highlight w:val="none"/>
          <w:lang w:eastAsia="zh"/>
        </w:rPr>
        <w:t>防范可能垄断、不正当竞争风险，维护公平有序的数据市场秩序</w:t>
      </w:r>
      <w:r>
        <w:rPr>
          <w:rFonts w:hint="eastAsia" w:ascii="Times New Roman" w:hAnsi="Times New Roman" w:eastAsia="仿宋" w:cs="仿宋"/>
          <w:b w:val="0"/>
          <w:bCs w:val="0"/>
          <w:sz w:val="32"/>
          <w:szCs w:val="32"/>
          <w:highlight w:val="none"/>
          <w:lang w:eastAsia="zh-CN"/>
        </w:rPr>
        <w:t>；市委</w:t>
      </w:r>
      <w:r>
        <w:rPr>
          <w:rFonts w:hint="eastAsia" w:ascii="Times New Roman" w:hAnsi="Times New Roman" w:eastAsia="仿宋" w:cs="仿宋"/>
          <w:b w:val="0"/>
          <w:bCs w:val="0"/>
          <w:color w:val="auto"/>
          <w:sz w:val="32"/>
          <w:szCs w:val="32"/>
          <w:highlight w:val="none"/>
          <w:lang w:val="en-US" w:eastAsia="zh-CN"/>
        </w:rPr>
        <w:t>网信办、市公安局、市国家安全局等部门按照各自职责，负责公共数据资源授权运营的监督管理工作；市审计局依据年度审计工作计划依法开展公共数据授权运营审计监督，及时提示风险，督促相关单位规范履职、推动运营工作依法依规有序开展。开展公共数据资源授权运营的单位应依法依规向审计机关开放公共数据资源目录和开发利用情况。</w:t>
      </w:r>
    </w:p>
    <w:p w14:paraId="221AA61C">
      <w:pPr>
        <w:pStyle w:val="2"/>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楷体" w:hAnsi="楷体" w:eastAsia="楷体" w:cs="楷体"/>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（二）考核评价。</w:t>
      </w:r>
    </w:p>
    <w:p w14:paraId="6F7A4FFC">
      <w:pPr>
        <w:pStyle w:val="2"/>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 w:cs="仿宋"/>
          <w:color w:val="auto"/>
          <w:sz w:val="32"/>
          <w:szCs w:val="32"/>
          <w:highlight w:val="none"/>
          <w:lang w:val="zh-CN"/>
        </w:rPr>
      </w:pPr>
      <w:r>
        <w:rPr>
          <w:rFonts w:hint="eastAsia" w:ascii="Times New Roman" w:hAnsi="Times New Roman" w:eastAsia="仿宋" w:cs="仿宋"/>
          <w:b w:val="0"/>
          <w:bCs w:val="0"/>
          <w:color w:val="auto"/>
          <w:sz w:val="32"/>
          <w:szCs w:val="32"/>
          <w:highlight w:val="none"/>
          <w:lang w:val="en-US" w:eastAsia="zh-CN"/>
        </w:rPr>
        <w:t>运营机构每年向实施机构提交授权运营年度报告。实施机构会同有关单位并委托第三方机构，定期对运营机构的运营情况进行评估，评估结果作为运营机构继续开展授权运营或再次申请授权运营的重要依据，</w:t>
      </w:r>
      <w:r>
        <w:rPr>
          <w:rFonts w:hint="eastAsia" w:ascii="Times New Roman" w:hAnsi="Times New Roman" w:eastAsia="仿宋" w:cs="仿宋"/>
          <w:color w:val="auto"/>
          <w:sz w:val="32"/>
          <w:szCs w:val="32"/>
          <w:highlight w:val="none"/>
          <w:lang w:val="zh-CN"/>
        </w:rPr>
        <w:t>评估结果按要求报送省、市政数局。</w:t>
      </w:r>
    </w:p>
    <w:p w14:paraId="3CECDED5">
      <w:pPr>
        <w:pStyle w:val="2"/>
        <w:keepNext w:val="0"/>
        <w:keepLines w:val="0"/>
        <w:pageBreakBefore w:val="0"/>
        <w:widowControl w:val="0"/>
        <w:kinsoku/>
        <w:wordWrap/>
        <w:overflowPunct/>
        <w:topLinePunct w:val="0"/>
        <w:autoSpaceDE/>
        <w:autoSpaceDN/>
        <w:bidi w:val="0"/>
        <w:adjustRightInd/>
        <w:snapToGrid/>
        <w:spacing w:line="576" w:lineRule="exact"/>
        <w:textAlignment w:val="auto"/>
        <w:rPr>
          <w:rFonts w:hint="eastAsia" w:ascii="Times New Roman" w:hAnsi="Times New Roman" w:eastAsia="仿宋" w:cs="仿宋"/>
          <w:color w:val="auto"/>
          <w:sz w:val="32"/>
          <w:szCs w:val="32"/>
          <w:highlight w:val="none"/>
          <w:lang w:val="zh-CN"/>
        </w:rPr>
      </w:pPr>
    </w:p>
    <w:p w14:paraId="73DA3550">
      <w:pPr>
        <w:pStyle w:val="2"/>
        <w:keepNext w:val="0"/>
        <w:keepLines w:val="0"/>
        <w:pageBreakBefore w:val="0"/>
        <w:numPr>
          <w:ilvl w:val="0"/>
          <w:numId w:val="0"/>
        </w:numPr>
        <w:kinsoku/>
        <w:overflowPunct/>
        <w:autoSpaceDE/>
        <w:autoSpaceDN/>
        <w:bidi w:val="0"/>
        <w:adjustRightInd/>
        <w:snapToGrid/>
        <w:spacing w:line="576" w:lineRule="exact"/>
        <w:ind w:firstLine="640" w:firstLineChars="200"/>
        <w:textAlignment w:val="auto"/>
        <w:rPr>
          <w:rFonts w:hint="eastAsia" w:ascii="Times New Roman" w:hAnsi="Times New Roman" w:eastAsia="仿宋" w:cs="仿宋"/>
          <w:sz w:val="32"/>
          <w:szCs w:val="32"/>
          <w:lang w:val="en-US" w:eastAsia="zh-CN" w:bidi="ar-SA"/>
        </w:rPr>
      </w:pPr>
      <w:r>
        <w:rPr>
          <w:rFonts w:hint="eastAsia" w:ascii="Times New Roman" w:hAnsi="Times New Roman" w:eastAsia="仿宋" w:cs="仿宋"/>
          <w:sz w:val="32"/>
          <w:szCs w:val="32"/>
          <w:lang w:val="en-US" w:eastAsia="zh-CN" w:bidi="ar-SA"/>
        </w:rPr>
        <w:t>附件：1.通化市公共数据资源授权运营资源目录（第一批）</w:t>
      </w:r>
    </w:p>
    <w:p w14:paraId="1444B6F4">
      <w:pPr>
        <w:pStyle w:val="2"/>
        <w:keepNext w:val="0"/>
        <w:keepLines w:val="0"/>
        <w:pageBreakBefore w:val="0"/>
        <w:widowControl w:val="0"/>
        <w:kinsoku/>
        <w:wordWrap/>
        <w:overflowPunct/>
        <w:topLinePunct w:val="0"/>
        <w:autoSpaceDE/>
        <w:autoSpaceDN/>
        <w:bidi w:val="0"/>
        <w:adjustRightInd/>
        <w:snapToGrid/>
        <w:spacing w:line="576" w:lineRule="exact"/>
        <w:ind w:firstLine="1600" w:firstLineChars="500"/>
        <w:textAlignment w:val="auto"/>
        <w:rPr>
          <w:rFonts w:hint="eastAsia" w:ascii="Times New Roman" w:hAnsi="Times New Roman" w:eastAsia="仿宋" w:cs="仿宋"/>
          <w:sz w:val="32"/>
          <w:szCs w:val="32"/>
          <w:lang w:val="en-US" w:eastAsia="zh-CN" w:bidi="ar-SA"/>
        </w:rPr>
      </w:pPr>
      <w:r>
        <w:rPr>
          <w:rFonts w:hint="eastAsia" w:ascii="Times New Roman" w:hAnsi="Times New Roman" w:eastAsia="仿宋" w:cs="仿宋"/>
          <w:sz w:val="32"/>
          <w:szCs w:val="32"/>
          <w:lang w:val="en-US" w:eastAsia="zh-CN" w:bidi="ar-SA"/>
        </w:rPr>
        <w:t>2.通化市拟提供公共数据产品和服务清单（第一批）</w:t>
      </w:r>
    </w:p>
    <w:p w14:paraId="632D81BA">
      <w:pPr>
        <w:pStyle w:val="2"/>
        <w:keepNext w:val="0"/>
        <w:keepLines w:val="0"/>
        <w:pageBreakBefore w:val="0"/>
        <w:widowControl w:val="0"/>
        <w:kinsoku/>
        <w:wordWrap/>
        <w:overflowPunct/>
        <w:topLinePunct w:val="0"/>
        <w:autoSpaceDE/>
        <w:autoSpaceDN/>
        <w:bidi w:val="0"/>
        <w:adjustRightInd/>
        <w:snapToGrid/>
        <w:spacing w:line="576" w:lineRule="exact"/>
        <w:textAlignment w:val="auto"/>
        <w:rPr>
          <w:rFonts w:hint="eastAsia" w:ascii="黑体" w:hAnsi="黑体" w:eastAsia="黑体" w:cs="黑体"/>
          <w:sz w:val="32"/>
          <w:szCs w:val="32"/>
          <w:lang w:val="en-US" w:eastAsia="zh-CN" w:bidi="ar-SA"/>
        </w:rPr>
      </w:pPr>
      <w:r>
        <w:rPr>
          <w:rFonts w:hint="eastAsia" w:ascii="Times New Roman" w:hAnsi="Times New Roman" w:eastAsia="仿宋" w:cs="仿宋"/>
          <w:sz w:val="32"/>
          <w:szCs w:val="32"/>
          <w:lang w:val="en-US" w:eastAsia="zh-CN" w:bidi="ar-SA"/>
        </w:rPr>
        <w:br w:type="page"/>
      </w:r>
      <w:r>
        <w:rPr>
          <w:rFonts w:hint="eastAsia" w:ascii="黑体" w:hAnsi="黑体" w:eastAsia="黑体" w:cs="黑体"/>
          <w:sz w:val="32"/>
          <w:szCs w:val="32"/>
          <w:lang w:val="en-US" w:eastAsia="zh-CN" w:bidi="ar-SA"/>
        </w:rPr>
        <w:t>附件1</w:t>
      </w:r>
    </w:p>
    <w:p w14:paraId="7D6D63C1">
      <w:pPr>
        <w:pStyle w:val="2"/>
        <w:keepNext w:val="0"/>
        <w:keepLines w:val="0"/>
        <w:pageBreakBefore w:val="0"/>
        <w:widowControl w:val="0"/>
        <w:kinsoku/>
        <w:wordWrap/>
        <w:overflowPunct/>
        <w:topLinePunct w:val="0"/>
        <w:autoSpaceDE/>
        <w:autoSpaceDN/>
        <w:bidi w:val="0"/>
        <w:adjustRightInd/>
        <w:snapToGrid/>
        <w:spacing w:line="576" w:lineRule="exact"/>
        <w:textAlignment w:val="auto"/>
        <w:rPr>
          <w:rFonts w:hint="eastAsia" w:ascii="黑体" w:hAnsi="黑体" w:eastAsia="黑体" w:cs="黑体"/>
          <w:sz w:val="32"/>
          <w:szCs w:val="32"/>
          <w:lang w:val="en-US" w:eastAsia="zh-CN" w:bidi="ar-SA"/>
        </w:rPr>
      </w:pPr>
    </w:p>
    <w:p w14:paraId="75296C8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right="0"/>
        <w:jc w:val="center"/>
        <w:textAlignment w:val="auto"/>
        <w:rPr>
          <w:rStyle w:val="12"/>
          <w:rFonts w:hint="default" w:ascii="方正大标宋_GBK" w:hAnsi="方正大标宋_GBK" w:eastAsia="方正大标宋_GBK" w:cs="方正大标宋_GBK"/>
          <w:b w:val="0"/>
          <w:bCs/>
          <w:color w:val="auto"/>
          <w:sz w:val="44"/>
          <w:szCs w:val="44"/>
          <w:highlight w:val="none"/>
          <w:lang w:val="en-US" w:eastAsia="zh-CN"/>
        </w:rPr>
      </w:pPr>
      <w:r>
        <w:rPr>
          <w:rStyle w:val="12"/>
          <w:rFonts w:hint="default" w:ascii="方正大标宋_GBK" w:hAnsi="方正大标宋_GBK" w:eastAsia="方正大标宋_GBK" w:cs="方正大标宋_GBK"/>
          <w:b w:val="0"/>
          <w:bCs/>
          <w:color w:val="auto"/>
          <w:sz w:val="44"/>
          <w:szCs w:val="44"/>
          <w:highlight w:val="none"/>
          <w:lang w:val="en-US" w:eastAsia="zh-CN"/>
        </w:rPr>
        <w:t>通化市公共数据资源授权运营资源目录</w:t>
      </w:r>
    </w:p>
    <w:p w14:paraId="0EC8786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right="0"/>
        <w:jc w:val="center"/>
        <w:textAlignment w:val="auto"/>
        <w:rPr>
          <w:rFonts w:hint="default" w:ascii="方正大标宋_GBK" w:hAnsi="方正大标宋_GBK" w:eastAsia="方正大标宋_GBK" w:cs="方正大标宋_GBK"/>
          <w:sz w:val="44"/>
          <w:szCs w:val="44"/>
          <w:lang w:val="en-US" w:eastAsia="zh-CN" w:bidi="ar-SA"/>
        </w:rPr>
      </w:pPr>
      <w:r>
        <w:rPr>
          <w:rStyle w:val="12"/>
          <w:rFonts w:hint="default" w:ascii="方正大标宋_GBK" w:hAnsi="方正大标宋_GBK" w:eastAsia="方正大标宋_GBK" w:cs="方正大标宋_GBK"/>
          <w:b w:val="0"/>
          <w:bCs/>
          <w:color w:val="auto"/>
          <w:sz w:val="44"/>
          <w:szCs w:val="44"/>
          <w:highlight w:val="none"/>
          <w:lang w:val="en-US" w:eastAsia="zh-CN"/>
        </w:rPr>
        <w:t>（第一批）</w:t>
      </w:r>
    </w:p>
    <w:p w14:paraId="7B86C865">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方正大标宋_GBK" w:hAnsi="方正大标宋_GBK" w:eastAsia="方正大标宋_GBK" w:cs="方正大标宋_GBK"/>
          <w:sz w:val="44"/>
          <w:szCs w:val="44"/>
          <w:lang w:val="en-US" w:eastAsia="zh-CN" w:bidi="ar-SA"/>
        </w:rPr>
      </w:pPr>
    </w:p>
    <w:tbl>
      <w:tblPr>
        <w:tblStyle w:val="10"/>
        <w:tblW w:w="10200" w:type="dxa"/>
        <w:tblInd w:w="-6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
        <w:gridCol w:w="2195"/>
        <w:gridCol w:w="3941"/>
        <w:gridCol w:w="1582"/>
        <w:gridCol w:w="1595"/>
      </w:tblGrid>
      <w:tr w14:paraId="27BE1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 w:type="dxa"/>
            <w:noWrap w:val="0"/>
            <w:vAlign w:val="center"/>
          </w:tcPr>
          <w:p w14:paraId="5FF97D1C">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b/>
                <w:bCs/>
                <w:sz w:val="32"/>
                <w:szCs w:val="32"/>
                <w:vertAlign w:val="baseline"/>
                <w:lang w:val="en-US" w:eastAsia="zh-CN" w:bidi="ar-SA"/>
              </w:rPr>
            </w:pPr>
            <w:r>
              <w:rPr>
                <w:rFonts w:hint="default" w:ascii="Times New Roman" w:hAnsi="Times New Roman" w:eastAsia="仿宋" w:cs="Times New Roman"/>
                <w:b/>
                <w:bCs/>
                <w:sz w:val="32"/>
                <w:szCs w:val="32"/>
                <w:vertAlign w:val="baseline"/>
                <w:lang w:val="en-US" w:eastAsia="zh-CN" w:bidi="ar-SA"/>
              </w:rPr>
              <w:t>序号</w:t>
            </w:r>
          </w:p>
        </w:tc>
        <w:tc>
          <w:tcPr>
            <w:tcW w:w="2195" w:type="dxa"/>
            <w:noWrap w:val="0"/>
            <w:vAlign w:val="center"/>
          </w:tcPr>
          <w:p w14:paraId="19A26169">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b/>
                <w:bCs/>
                <w:sz w:val="32"/>
                <w:szCs w:val="32"/>
                <w:vertAlign w:val="baseline"/>
                <w:lang w:val="en-US" w:eastAsia="zh-CN" w:bidi="ar-SA"/>
              </w:rPr>
            </w:pPr>
            <w:r>
              <w:rPr>
                <w:rFonts w:hint="default" w:ascii="Times New Roman" w:hAnsi="Times New Roman" w:eastAsia="仿宋" w:cs="Times New Roman"/>
                <w:b/>
                <w:bCs/>
                <w:sz w:val="32"/>
                <w:szCs w:val="32"/>
                <w:vertAlign w:val="baseline"/>
                <w:lang w:val="en-US" w:eastAsia="zh-CN" w:bidi="ar-SA"/>
              </w:rPr>
              <w:t>数源提供单位</w:t>
            </w:r>
          </w:p>
        </w:tc>
        <w:tc>
          <w:tcPr>
            <w:tcW w:w="3941" w:type="dxa"/>
            <w:noWrap w:val="0"/>
            <w:vAlign w:val="center"/>
          </w:tcPr>
          <w:p w14:paraId="6B16E0F0">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b/>
                <w:bCs/>
                <w:sz w:val="32"/>
                <w:szCs w:val="32"/>
                <w:vertAlign w:val="baseline"/>
                <w:lang w:val="en-US" w:eastAsia="zh-CN" w:bidi="ar-SA"/>
              </w:rPr>
            </w:pPr>
            <w:r>
              <w:rPr>
                <w:rFonts w:hint="default" w:ascii="Times New Roman" w:hAnsi="Times New Roman" w:eastAsia="仿宋" w:cs="Times New Roman"/>
                <w:b/>
                <w:bCs/>
                <w:sz w:val="32"/>
                <w:szCs w:val="32"/>
                <w:vertAlign w:val="baseline"/>
                <w:lang w:val="en-US" w:eastAsia="zh-CN" w:bidi="ar-SA"/>
              </w:rPr>
              <w:t>数据资源名称</w:t>
            </w:r>
          </w:p>
        </w:tc>
        <w:tc>
          <w:tcPr>
            <w:tcW w:w="1582" w:type="dxa"/>
            <w:noWrap w:val="0"/>
            <w:vAlign w:val="center"/>
          </w:tcPr>
          <w:p w14:paraId="416C44CB">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b/>
                <w:bCs/>
                <w:sz w:val="32"/>
                <w:szCs w:val="32"/>
                <w:vertAlign w:val="baseline"/>
                <w:lang w:val="en-US" w:eastAsia="zh-CN" w:bidi="ar-SA"/>
              </w:rPr>
            </w:pPr>
            <w:r>
              <w:rPr>
                <w:rFonts w:hint="default" w:ascii="Times New Roman" w:hAnsi="Times New Roman" w:eastAsia="仿宋" w:cs="Times New Roman"/>
                <w:b/>
                <w:bCs/>
                <w:sz w:val="32"/>
                <w:szCs w:val="32"/>
                <w:vertAlign w:val="baseline"/>
                <w:lang w:val="en-US" w:eastAsia="zh-CN" w:bidi="ar-SA"/>
              </w:rPr>
              <w:t>提供方式</w:t>
            </w:r>
          </w:p>
        </w:tc>
        <w:tc>
          <w:tcPr>
            <w:tcW w:w="1595" w:type="dxa"/>
            <w:noWrap w:val="0"/>
            <w:vAlign w:val="center"/>
          </w:tcPr>
          <w:p w14:paraId="7212F30F">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b/>
                <w:bCs/>
                <w:sz w:val="32"/>
                <w:szCs w:val="32"/>
                <w:vertAlign w:val="baseline"/>
                <w:lang w:val="en-US" w:eastAsia="zh-CN" w:bidi="ar-SA"/>
              </w:rPr>
            </w:pPr>
            <w:r>
              <w:rPr>
                <w:rFonts w:hint="default" w:ascii="Times New Roman" w:hAnsi="Times New Roman" w:eastAsia="仿宋" w:cs="Times New Roman"/>
                <w:b/>
                <w:bCs/>
                <w:sz w:val="32"/>
                <w:szCs w:val="32"/>
                <w:vertAlign w:val="baseline"/>
                <w:lang w:val="en-US" w:eastAsia="zh-CN" w:bidi="ar-SA"/>
              </w:rPr>
              <w:t>更新频率</w:t>
            </w:r>
          </w:p>
        </w:tc>
      </w:tr>
      <w:tr w14:paraId="1C3A1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 w:type="dxa"/>
            <w:noWrap w:val="0"/>
            <w:vAlign w:val="center"/>
          </w:tcPr>
          <w:p w14:paraId="29608C1D">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1</w:t>
            </w:r>
          </w:p>
        </w:tc>
        <w:tc>
          <w:tcPr>
            <w:tcW w:w="2195" w:type="dxa"/>
            <w:noWrap w:val="0"/>
            <w:vAlign w:val="center"/>
          </w:tcPr>
          <w:p w14:paraId="6B8C353C">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市民政局</w:t>
            </w:r>
          </w:p>
        </w:tc>
        <w:tc>
          <w:tcPr>
            <w:tcW w:w="3941" w:type="dxa"/>
            <w:noWrap w:val="0"/>
            <w:vAlign w:val="center"/>
          </w:tcPr>
          <w:p w14:paraId="1FB2013B">
            <w:pPr>
              <w:pStyle w:val="2"/>
              <w:keepNext w:val="0"/>
              <w:keepLines w:val="0"/>
              <w:pageBreakBefore w:val="0"/>
              <w:widowControl w:val="0"/>
              <w:kinsoku/>
              <w:wordWrap/>
              <w:overflowPunct/>
              <w:topLinePunct w:val="0"/>
              <w:autoSpaceDE/>
              <w:autoSpaceDN/>
              <w:bidi w:val="0"/>
              <w:adjustRightInd/>
              <w:snapToGrid/>
              <w:spacing w:line="576" w:lineRule="exact"/>
              <w:jc w:val="both"/>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养老机构基本信息、社会团体基本信息、慈善组织公开募捐资格信息、行政许可情况信息等。</w:t>
            </w:r>
          </w:p>
        </w:tc>
        <w:tc>
          <w:tcPr>
            <w:tcW w:w="1582" w:type="dxa"/>
            <w:noWrap w:val="0"/>
            <w:vAlign w:val="center"/>
          </w:tcPr>
          <w:p w14:paraId="21322EA8">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接口、库表、文件</w:t>
            </w:r>
          </w:p>
        </w:tc>
        <w:tc>
          <w:tcPr>
            <w:tcW w:w="1595" w:type="dxa"/>
            <w:noWrap w:val="0"/>
            <w:vAlign w:val="center"/>
          </w:tcPr>
          <w:p w14:paraId="3F190C5C">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定期</w:t>
            </w:r>
          </w:p>
        </w:tc>
      </w:tr>
      <w:tr w14:paraId="5304F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 w:type="dxa"/>
            <w:noWrap w:val="0"/>
            <w:vAlign w:val="center"/>
          </w:tcPr>
          <w:p w14:paraId="51122CC6">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2</w:t>
            </w:r>
          </w:p>
        </w:tc>
        <w:tc>
          <w:tcPr>
            <w:tcW w:w="2195" w:type="dxa"/>
            <w:noWrap w:val="0"/>
            <w:vAlign w:val="center"/>
          </w:tcPr>
          <w:p w14:paraId="2BF586C6">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市自然资源局</w:t>
            </w:r>
          </w:p>
        </w:tc>
        <w:tc>
          <w:tcPr>
            <w:tcW w:w="3941" w:type="dxa"/>
            <w:noWrap w:val="0"/>
            <w:vAlign w:val="center"/>
          </w:tcPr>
          <w:p w14:paraId="166D60DC">
            <w:pPr>
              <w:pStyle w:val="2"/>
              <w:keepNext w:val="0"/>
              <w:keepLines w:val="0"/>
              <w:pageBreakBefore w:val="0"/>
              <w:widowControl w:val="0"/>
              <w:kinsoku/>
              <w:wordWrap/>
              <w:overflowPunct/>
              <w:topLinePunct w:val="0"/>
              <w:autoSpaceDE/>
              <w:autoSpaceDN/>
              <w:bidi w:val="0"/>
              <w:adjustRightInd/>
              <w:snapToGrid/>
              <w:spacing w:line="576" w:lineRule="exact"/>
              <w:jc w:val="both"/>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建设用地规划许可证信息（包括划拨、出让）、建设工程规划许可证信息、土地使用权和矿产权交易数据。</w:t>
            </w:r>
          </w:p>
        </w:tc>
        <w:tc>
          <w:tcPr>
            <w:tcW w:w="1582" w:type="dxa"/>
            <w:noWrap w:val="0"/>
            <w:vAlign w:val="center"/>
          </w:tcPr>
          <w:p w14:paraId="06DE0A5F">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接口、库表、文件</w:t>
            </w:r>
          </w:p>
        </w:tc>
        <w:tc>
          <w:tcPr>
            <w:tcW w:w="1595" w:type="dxa"/>
            <w:noWrap w:val="0"/>
            <w:vAlign w:val="center"/>
          </w:tcPr>
          <w:p w14:paraId="1FD38575">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定期</w:t>
            </w:r>
          </w:p>
        </w:tc>
      </w:tr>
      <w:tr w14:paraId="19A82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 w:type="dxa"/>
            <w:noWrap w:val="0"/>
            <w:vAlign w:val="center"/>
          </w:tcPr>
          <w:p w14:paraId="4C826FA1">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3</w:t>
            </w:r>
          </w:p>
        </w:tc>
        <w:tc>
          <w:tcPr>
            <w:tcW w:w="2195" w:type="dxa"/>
            <w:noWrap w:val="0"/>
            <w:vAlign w:val="center"/>
          </w:tcPr>
          <w:p w14:paraId="09044FD4">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市生态环境局</w:t>
            </w:r>
          </w:p>
        </w:tc>
        <w:tc>
          <w:tcPr>
            <w:tcW w:w="3941" w:type="dxa"/>
            <w:noWrap w:val="0"/>
            <w:vAlign w:val="center"/>
          </w:tcPr>
          <w:p w14:paraId="2EE72C6E">
            <w:pPr>
              <w:pStyle w:val="2"/>
              <w:keepNext w:val="0"/>
              <w:keepLines w:val="0"/>
              <w:pageBreakBefore w:val="0"/>
              <w:widowControl w:val="0"/>
              <w:kinsoku/>
              <w:wordWrap/>
              <w:overflowPunct/>
              <w:topLinePunct w:val="0"/>
              <w:autoSpaceDE/>
              <w:autoSpaceDN/>
              <w:bidi w:val="0"/>
              <w:adjustRightInd/>
              <w:snapToGrid/>
              <w:spacing w:line="576" w:lineRule="exact"/>
              <w:jc w:val="both"/>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排污许可证信息、环境重点监管企业信息等。</w:t>
            </w:r>
          </w:p>
        </w:tc>
        <w:tc>
          <w:tcPr>
            <w:tcW w:w="1582" w:type="dxa"/>
            <w:noWrap w:val="0"/>
            <w:vAlign w:val="center"/>
          </w:tcPr>
          <w:p w14:paraId="49DFA68E">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接口、库表、文件</w:t>
            </w:r>
          </w:p>
        </w:tc>
        <w:tc>
          <w:tcPr>
            <w:tcW w:w="1595" w:type="dxa"/>
            <w:noWrap w:val="0"/>
            <w:vAlign w:val="center"/>
          </w:tcPr>
          <w:p w14:paraId="2585189E">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定期</w:t>
            </w:r>
          </w:p>
        </w:tc>
      </w:tr>
      <w:tr w14:paraId="34B9C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 w:type="dxa"/>
            <w:noWrap w:val="0"/>
            <w:vAlign w:val="center"/>
          </w:tcPr>
          <w:p w14:paraId="4817869F">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4</w:t>
            </w:r>
          </w:p>
        </w:tc>
        <w:tc>
          <w:tcPr>
            <w:tcW w:w="2195" w:type="dxa"/>
            <w:noWrap w:val="0"/>
            <w:vAlign w:val="center"/>
          </w:tcPr>
          <w:p w14:paraId="637B19CE">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市住房和城乡建设局</w:t>
            </w:r>
          </w:p>
        </w:tc>
        <w:tc>
          <w:tcPr>
            <w:tcW w:w="3941" w:type="dxa"/>
            <w:noWrap w:val="0"/>
            <w:vAlign w:val="center"/>
          </w:tcPr>
          <w:p w14:paraId="2C833745">
            <w:pPr>
              <w:pStyle w:val="2"/>
              <w:keepNext w:val="0"/>
              <w:keepLines w:val="0"/>
              <w:pageBreakBefore w:val="0"/>
              <w:widowControl w:val="0"/>
              <w:kinsoku/>
              <w:wordWrap/>
              <w:overflowPunct/>
              <w:topLinePunct w:val="0"/>
              <w:autoSpaceDE/>
              <w:autoSpaceDN/>
              <w:bidi w:val="0"/>
              <w:adjustRightInd/>
              <w:snapToGrid/>
              <w:spacing w:line="576" w:lineRule="exact"/>
              <w:jc w:val="both"/>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商品房预售许可信息。</w:t>
            </w:r>
          </w:p>
        </w:tc>
        <w:tc>
          <w:tcPr>
            <w:tcW w:w="1582" w:type="dxa"/>
            <w:noWrap w:val="0"/>
            <w:vAlign w:val="center"/>
          </w:tcPr>
          <w:p w14:paraId="111B4B37">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接口、库表、文件</w:t>
            </w:r>
          </w:p>
        </w:tc>
        <w:tc>
          <w:tcPr>
            <w:tcW w:w="1595" w:type="dxa"/>
            <w:noWrap w:val="0"/>
            <w:vAlign w:val="center"/>
          </w:tcPr>
          <w:p w14:paraId="7140C18E">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定期</w:t>
            </w:r>
          </w:p>
        </w:tc>
      </w:tr>
      <w:tr w14:paraId="37958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 w:type="dxa"/>
            <w:noWrap w:val="0"/>
            <w:vAlign w:val="center"/>
          </w:tcPr>
          <w:p w14:paraId="476E1016">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5</w:t>
            </w:r>
          </w:p>
        </w:tc>
        <w:tc>
          <w:tcPr>
            <w:tcW w:w="2195" w:type="dxa"/>
            <w:noWrap w:val="0"/>
            <w:vAlign w:val="center"/>
          </w:tcPr>
          <w:p w14:paraId="4244E00F">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市交通运输局</w:t>
            </w:r>
          </w:p>
        </w:tc>
        <w:tc>
          <w:tcPr>
            <w:tcW w:w="3941" w:type="dxa"/>
            <w:noWrap w:val="0"/>
            <w:vAlign w:val="center"/>
          </w:tcPr>
          <w:p w14:paraId="117C3949">
            <w:pPr>
              <w:pStyle w:val="2"/>
              <w:keepNext w:val="0"/>
              <w:keepLines w:val="0"/>
              <w:pageBreakBefore w:val="0"/>
              <w:widowControl w:val="0"/>
              <w:kinsoku/>
              <w:wordWrap/>
              <w:overflowPunct/>
              <w:topLinePunct w:val="0"/>
              <w:autoSpaceDE/>
              <w:autoSpaceDN/>
              <w:bidi w:val="0"/>
              <w:adjustRightInd/>
              <w:snapToGrid/>
              <w:spacing w:line="576" w:lineRule="exact"/>
              <w:jc w:val="both"/>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公交线路基础数据、车辆实时定位数据、客服工单数据、客流统计数据（汇总口径）等。</w:t>
            </w:r>
          </w:p>
        </w:tc>
        <w:tc>
          <w:tcPr>
            <w:tcW w:w="1582" w:type="dxa"/>
            <w:noWrap w:val="0"/>
            <w:vAlign w:val="center"/>
          </w:tcPr>
          <w:p w14:paraId="4092ED7A">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接口、库表、文件</w:t>
            </w:r>
          </w:p>
        </w:tc>
        <w:tc>
          <w:tcPr>
            <w:tcW w:w="1595" w:type="dxa"/>
            <w:noWrap w:val="0"/>
            <w:vAlign w:val="center"/>
          </w:tcPr>
          <w:p w14:paraId="35B019D4">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定期</w:t>
            </w:r>
          </w:p>
        </w:tc>
      </w:tr>
      <w:tr w14:paraId="61157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 w:type="dxa"/>
            <w:noWrap w:val="0"/>
            <w:vAlign w:val="center"/>
          </w:tcPr>
          <w:p w14:paraId="4B33B2AB">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6</w:t>
            </w:r>
          </w:p>
        </w:tc>
        <w:tc>
          <w:tcPr>
            <w:tcW w:w="2195" w:type="dxa"/>
            <w:noWrap w:val="0"/>
            <w:vAlign w:val="center"/>
          </w:tcPr>
          <w:p w14:paraId="65753206">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市文化广播电视和旅游局</w:t>
            </w:r>
          </w:p>
        </w:tc>
        <w:tc>
          <w:tcPr>
            <w:tcW w:w="3941" w:type="dxa"/>
            <w:noWrap w:val="0"/>
            <w:vAlign w:val="center"/>
          </w:tcPr>
          <w:p w14:paraId="6643515F">
            <w:pPr>
              <w:pStyle w:val="2"/>
              <w:keepNext w:val="0"/>
              <w:keepLines w:val="0"/>
              <w:pageBreakBefore w:val="0"/>
              <w:widowControl w:val="0"/>
              <w:kinsoku/>
              <w:wordWrap/>
              <w:overflowPunct/>
              <w:topLinePunct w:val="0"/>
              <w:autoSpaceDE/>
              <w:autoSpaceDN/>
              <w:bidi w:val="0"/>
              <w:adjustRightInd/>
              <w:snapToGrid/>
              <w:spacing w:line="576" w:lineRule="exact"/>
              <w:jc w:val="both"/>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全市A级景区信息、文化遗址保护单位信息、市级非物质文化遗产代表性项目名录、旅游景区公共服务设施信息（旅游厕所）、等级农家乐信息、等级民宿信息、剧院信息等。</w:t>
            </w:r>
          </w:p>
        </w:tc>
        <w:tc>
          <w:tcPr>
            <w:tcW w:w="1582" w:type="dxa"/>
            <w:noWrap w:val="0"/>
            <w:vAlign w:val="center"/>
          </w:tcPr>
          <w:p w14:paraId="10AB90CB">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接口、库表、文件</w:t>
            </w:r>
          </w:p>
        </w:tc>
        <w:tc>
          <w:tcPr>
            <w:tcW w:w="1595" w:type="dxa"/>
            <w:noWrap w:val="0"/>
            <w:vAlign w:val="center"/>
          </w:tcPr>
          <w:p w14:paraId="51A13AB3">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定期</w:t>
            </w:r>
          </w:p>
        </w:tc>
      </w:tr>
      <w:tr w14:paraId="7ACA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 w:type="dxa"/>
            <w:noWrap w:val="0"/>
            <w:vAlign w:val="center"/>
          </w:tcPr>
          <w:p w14:paraId="2B3CB3FB">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7</w:t>
            </w:r>
          </w:p>
        </w:tc>
        <w:tc>
          <w:tcPr>
            <w:tcW w:w="2195" w:type="dxa"/>
            <w:noWrap w:val="0"/>
            <w:vAlign w:val="center"/>
          </w:tcPr>
          <w:p w14:paraId="7756520B">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市林业局</w:t>
            </w:r>
          </w:p>
        </w:tc>
        <w:tc>
          <w:tcPr>
            <w:tcW w:w="3941" w:type="dxa"/>
            <w:noWrap w:val="0"/>
            <w:vAlign w:val="center"/>
          </w:tcPr>
          <w:p w14:paraId="445797D5">
            <w:pPr>
              <w:pStyle w:val="2"/>
              <w:keepNext w:val="0"/>
              <w:keepLines w:val="0"/>
              <w:pageBreakBefore w:val="0"/>
              <w:widowControl w:val="0"/>
              <w:kinsoku/>
              <w:wordWrap/>
              <w:overflowPunct/>
              <w:topLinePunct w:val="0"/>
              <w:autoSpaceDE/>
              <w:autoSpaceDN/>
              <w:bidi w:val="0"/>
              <w:adjustRightInd/>
              <w:snapToGrid/>
              <w:spacing w:line="576" w:lineRule="exact"/>
              <w:jc w:val="both"/>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出售、购买、利用国家重点保护陆生野生动物及其制品审批许可信息，国有林场信息，古树名木数据，勘查、开采矿藏和各项建设工程(临时)占用或征收、征用林地数据等。</w:t>
            </w:r>
          </w:p>
        </w:tc>
        <w:tc>
          <w:tcPr>
            <w:tcW w:w="1582" w:type="dxa"/>
            <w:noWrap w:val="0"/>
            <w:vAlign w:val="center"/>
          </w:tcPr>
          <w:p w14:paraId="027B134C">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接口、库表、文件</w:t>
            </w:r>
          </w:p>
        </w:tc>
        <w:tc>
          <w:tcPr>
            <w:tcW w:w="1595" w:type="dxa"/>
            <w:noWrap w:val="0"/>
            <w:vAlign w:val="center"/>
          </w:tcPr>
          <w:p w14:paraId="24A83A6F">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定期</w:t>
            </w:r>
          </w:p>
        </w:tc>
      </w:tr>
      <w:tr w14:paraId="16CFE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 w:type="dxa"/>
            <w:noWrap w:val="0"/>
            <w:vAlign w:val="center"/>
          </w:tcPr>
          <w:p w14:paraId="3B5C2A50">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8</w:t>
            </w:r>
          </w:p>
        </w:tc>
        <w:tc>
          <w:tcPr>
            <w:tcW w:w="2195" w:type="dxa"/>
            <w:noWrap w:val="0"/>
            <w:vAlign w:val="center"/>
          </w:tcPr>
          <w:p w14:paraId="13D0A771">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市住房公积金管理中心</w:t>
            </w:r>
          </w:p>
        </w:tc>
        <w:tc>
          <w:tcPr>
            <w:tcW w:w="3941" w:type="dxa"/>
            <w:noWrap w:val="0"/>
            <w:vAlign w:val="center"/>
          </w:tcPr>
          <w:p w14:paraId="3BC81BC1">
            <w:pPr>
              <w:pStyle w:val="2"/>
              <w:keepNext w:val="0"/>
              <w:keepLines w:val="0"/>
              <w:pageBreakBefore w:val="0"/>
              <w:widowControl w:val="0"/>
              <w:kinsoku/>
              <w:wordWrap/>
              <w:overflowPunct/>
              <w:topLinePunct w:val="0"/>
              <w:autoSpaceDE/>
              <w:autoSpaceDN/>
              <w:bidi w:val="0"/>
              <w:adjustRightInd/>
              <w:snapToGrid/>
              <w:spacing w:line="576" w:lineRule="exact"/>
              <w:jc w:val="both"/>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缴存数据，提取情况数据，贷款情况数据等。</w:t>
            </w:r>
          </w:p>
        </w:tc>
        <w:tc>
          <w:tcPr>
            <w:tcW w:w="1582" w:type="dxa"/>
            <w:noWrap w:val="0"/>
            <w:vAlign w:val="center"/>
          </w:tcPr>
          <w:p w14:paraId="0B8ABC15">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接口、库表、文件</w:t>
            </w:r>
          </w:p>
        </w:tc>
        <w:tc>
          <w:tcPr>
            <w:tcW w:w="1595" w:type="dxa"/>
            <w:noWrap w:val="0"/>
            <w:vAlign w:val="center"/>
          </w:tcPr>
          <w:p w14:paraId="4FC70781">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定期</w:t>
            </w:r>
          </w:p>
        </w:tc>
      </w:tr>
      <w:tr w14:paraId="70238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 w:type="dxa"/>
            <w:noWrap w:val="0"/>
            <w:vAlign w:val="center"/>
          </w:tcPr>
          <w:p w14:paraId="59D3E9CD">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9</w:t>
            </w:r>
          </w:p>
        </w:tc>
        <w:tc>
          <w:tcPr>
            <w:tcW w:w="2195" w:type="dxa"/>
            <w:noWrap w:val="0"/>
            <w:vAlign w:val="center"/>
          </w:tcPr>
          <w:p w14:paraId="6A289E26">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市应急管理局</w:t>
            </w:r>
          </w:p>
        </w:tc>
        <w:tc>
          <w:tcPr>
            <w:tcW w:w="3941" w:type="dxa"/>
            <w:noWrap w:val="0"/>
            <w:vAlign w:val="center"/>
          </w:tcPr>
          <w:p w14:paraId="746920CC">
            <w:pPr>
              <w:pStyle w:val="2"/>
              <w:keepNext w:val="0"/>
              <w:keepLines w:val="0"/>
              <w:pageBreakBefore w:val="0"/>
              <w:widowControl w:val="0"/>
              <w:kinsoku/>
              <w:wordWrap/>
              <w:overflowPunct/>
              <w:topLinePunct w:val="0"/>
              <w:autoSpaceDE/>
              <w:autoSpaceDN/>
              <w:bidi w:val="0"/>
              <w:adjustRightInd/>
              <w:snapToGrid/>
              <w:spacing w:line="576" w:lineRule="exact"/>
              <w:jc w:val="both"/>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执法检查发现问题隐患台账、历史安全事故信息、安全生产标准化等级信息、企业作业风险等级数据、企业安全生产基础信息等。</w:t>
            </w:r>
          </w:p>
        </w:tc>
        <w:tc>
          <w:tcPr>
            <w:tcW w:w="1582" w:type="dxa"/>
            <w:noWrap w:val="0"/>
            <w:vAlign w:val="center"/>
          </w:tcPr>
          <w:p w14:paraId="7AC24000">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接口、库表、文件</w:t>
            </w:r>
          </w:p>
        </w:tc>
        <w:tc>
          <w:tcPr>
            <w:tcW w:w="1595" w:type="dxa"/>
            <w:noWrap w:val="0"/>
            <w:vAlign w:val="center"/>
          </w:tcPr>
          <w:p w14:paraId="548D3FB7">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定期</w:t>
            </w:r>
          </w:p>
        </w:tc>
      </w:tr>
    </w:tbl>
    <w:p w14:paraId="57276E08">
      <w:pPr>
        <w:pStyle w:val="2"/>
        <w:keepNext w:val="0"/>
        <w:keepLines w:val="0"/>
        <w:pageBreakBefore w:val="0"/>
        <w:widowControl w:val="0"/>
        <w:kinsoku/>
        <w:wordWrap/>
        <w:overflowPunct/>
        <w:topLinePunct w:val="0"/>
        <w:autoSpaceDE/>
        <w:autoSpaceDN/>
        <w:bidi w:val="0"/>
        <w:adjustRightInd/>
        <w:snapToGrid/>
        <w:spacing w:line="576" w:lineRule="exact"/>
        <w:textAlignment w:val="auto"/>
        <w:rPr>
          <w:rFonts w:hint="eastAsia" w:ascii="黑体" w:hAnsi="黑体" w:eastAsia="黑体" w:cs="黑体"/>
          <w:sz w:val="32"/>
          <w:szCs w:val="32"/>
          <w:lang w:val="en-US" w:eastAsia="zh-CN" w:bidi="ar-SA"/>
        </w:rPr>
      </w:pPr>
      <w:r>
        <w:rPr>
          <w:rFonts w:hint="eastAsia" w:ascii="Times New Roman" w:hAnsi="Times New Roman" w:eastAsia="仿宋" w:cs="仿宋"/>
          <w:sz w:val="32"/>
          <w:szCs w:val="32"/>
          <w:lang w:val="en-US" w:eastAsia="zh-CN" w:bidi="ar-SA"/>
        </w:rPr>
        <w:br w:type="page"/>
      </w:r>
      <w:r>
        <w:rPr>
          <w:rFonts w:hint="eastAsia" w:ascii="黑体" w:hAnsi="黑体" w:eastAsia="黑体" w:cs="黑体"/>
          <w:sz w:val="32"/>
          <w:szCs w:val="32"/>
          <w:lang w:val="en-US" w:eastAsia="zh-CN" w:bidi="ar-SA"/>
        </w:rPr>
        <w:t>附件2</w:t>
      </w:r>
    </w:p>
    <w:p w14:paraId="26C6613F">
      <w:pPr>
        <w:pStyle w:val="2"/>
        <w:keepNext w:val="0"/>
        <w:keepLines w:val="0"/>
        <w:pageBreakBefore w:val="0"/>
        <w:widowControl w:val="0"/>
        <w:kinsoku/>
        <w:wordWrap/>
        <w:overflowPunct/>
        <w:topLinePunct w:val="0"/>
        <w:autoSpaceDE/>
        <w:autoSpaceDN/>
        <w:bidi w:val="0"/>
        <w:adjustRightInd/>
        <w:snapToGrid/>
        <w:spacing w:line="576" w:lineRule="exact"/>
        <w:textAlignment w:val="auto"/>
        <w:rPr>
          <w:rFonts w:hint="eastAsia" w:ascii="黑体" w:hAnsi="黑体" w:eastAsia="黑体" w:cs="黑体"/>
          <w:sz w:val="32"/>
          <w:szCs w:val="32"/>
          <w:lang w:val="en-US" w:eastAsia="zh-CN" w:bidi="ar-SA"/>
        </w:rPr>
      </w:pPr>
    </w:p>
    <w:p w14:paraId="4443B96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right="0"/>
        <w:jc w:val="center"/>
        <w:textAlignment w:val="auto"/>
        <w:rPr>
          <w:rStyle w:val="12"/>
          <w:rFonts w:hint="eastAsia" w:ascii="方正大标宋_GBK" w:hAnsi="方正大标宋_GBK" w:eastAsia="方正大标宋_GBK" w:cs="方正大标宋_GBK"/>
          <w:b w:val="0"/>
          <w:bCs/>
          <w:color w:val="auto"/>
          <w:sz w:val="44"/>
          <w:szCs w:val="44"/>
          <w:highlight w:val="none"/>
          <w:lang w:val="en-US" w:eastAsia="zh-CN"/>
        </w:rPr>
      </w:pPr>
      <w:r>
        <w:rPr>
          <w:rStyle w:val="12"/>
          <w:rFonts w:hint="eastAsia" w:ascii="方正大标宋_GBK" w:hAnsi="方正大标宋_GBK" w:eastAsia="方正大标宋_GBK" w:cs="方正大标宋_GBK"/>
          <w:b w:val="0"/>
          <w:bCs/>
          <w:color w:val="auto"/>
          <w:sz w:val="44"/>
          <w:szCs w:val="44"/>
          <w:highlight w:val="none"/>
          <w:lang w:val="en-US" w:eastAsia="zh-CN"/>
        </w:rPr>
        <w:t>通化市拟提供的公共数据产品和服务清单</w:t>
      </w:r>
    </w:p>
    <w:p w14:paraId="3BB5B40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right="0"/>
        <w:jc w:val="center"/>
        <w:textAlignment w:val="auto"/>
        <w:rPr>
          <w:rFonts w:hint="eastAsia" w:ascii="方正大标宋_GBK" w:hAnsi="方正大标宋_GBK" w:eastAsia="方正大标宋_GBK" w:cs="方正大标宋_GBK"/>
          <w:sz w:val="44"/>
          <w:szCs w:val="44"/>
          <w:lang w:val="en-US" w:eastAsia="zh-CN" w:bidi="ar-SA"/>
        </w:rPr>
      </w:pPr>
      <w:r>
        <w:rPr>
          <w:rStyle w:val="12"/>
          <w:rFonts w:hint="eastAsia" w:ascii="方正大标宋_GBK" w:hAnsi="方正大标宋_GBK" w:eastAsia="方正大标宋_GBK" w:cs="方正大标宋_GBK"/>
          <w:b w:val="0"/>
          <w:bCs/>
          <w:color w:val="auto"/>
          <w:sz w:val="44"/>
          <w:szCs w:val="44"/>
          <w:highlight w:val="none"/>
          <w:lang w:val="en-US" w:eastAsia="zh-CN"/>
        </w:rPr>
        <w:t>（第一批）</w:t>
      </w:r>
    </w:p>
    <w:p w14:paraId="26AF6A8B">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eastAsia" w:ascii="方正大标宋_GBK" w:hAnsi="方正大标宋_GBK" w:eastAsia="方正大标宋_GBK" w:cs="方正大标宋_GBK"/>
          <w:sz w:val="44"/>
          <w:szCs w:val="44"/>
          <w:lang w:val="en-US" w:eastAsia="zh-CN" w:bidi="ar-SA"/>
        </w:rPr>
      </w:pPr>
    </w:p>
    <w:tbl>
      <w:tblPr>
        <w:tblStyle w:val="10"/>
        <w:tblW w:w="10050" w:type="dxa"/>
        <w:tblInd w:w="-5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6"/>
        <w:gridCol w:w="1909"/>
        <w:gridCol w:w="2714"/>
        <w:gridCol w:w="4391"/>
      </w:tblGrid>
      <w:tr w14:paraId="1E1D6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6" w:type="dxa"/>
            <w:noWrap w:val="0"/>
            <w:vAlign w:val="center"/>
          </w:tcPr>
          <w:p w14:paraId="61DFE196">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b/>
                <w:bCs/>
                <w:sz w:val="32"/>
                <w:szCs w:val="32"/>
                <w:vertAlign w:val="baseline"/>
                <w:lang w:val="en-US" w:eastAsia="zh-CN" w:bidi="ar-SA"/>
              </w:rPr>
            </w:pPr>
            <w:r>
              <w:rPr>
                <w:rFonts w:hint="default" w:ascii="Times New Roman" w:hAnsi="Times New Roman" w:eastAsia="仿宋" w:cs="Times New Roman"/>
                <w:b/>
                <w:bCs/>
                <w:sz w:val="32"/>
                <w:szCs w:val="32"/>
                <w:vertAlign w:val="baseline"/>
                <w:lang w:val="en-US" w:eastAsia="zh-CN" w:bidi="ar-SA"/>
              </w:rPr>
              <w:t>序号</w:t>
            </w:r>
          </w:p>
        </w:tc>
        <w:tc>
          <w:tcPr>
            <w:tcW w:w="1909" w:type="dxa"/>
            <w:noWrap w:val="0"/>
            <w:vAlign w:val="center"/>
          </w:tcPr>
          <w:p w14:paraId="76B5B76F">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b/>
                <w:bCs/>
                <w:sz w:val="32"/>
                <w:szCs w:val="32"/>
                <w:vertAlign w:val="baseline"/>
                <w:lang w:val="en-US" w:eastAsia="zh-CN" w:bidi="ar-SA"/>
              </w:rPr>
            </w:pPr>
            <w:r>
              <w:rPr>
                <w:rFonts w:hint="default" w:ascii="Times New Roman" w:hAnsi="Times New Roman" w:eastAsia="仿宋" w:cs="Times New Roman"/>
                <w:b/>
                <w:bCs/>
                <w:sz w:val="32"/>
                <w:szCs w:val="32"/>
                <w:vertAlign w:val="baseline"/>
                <w:lang w:val="en-US" w:eastAsia="zh-CN" w:bidi="ar-SA"/>
              </w:rPr>
              <w:t>类别</w:t>
            </w:r>
          </w:p>
        </w:tc>
        <w:tc>
          <w:tcPr>
            <w:tcW w:w="2714" w:type="dxa"/>
            <w:noWrap w:val="0"/>
            <w:vAlign w:val="center"/>
          </w:tcPr>
          <w:p w14:paraId="1870617C">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b/>
                <w:bCs/>
                <w:sz w:val="32"/>
                <w:szCs w:val="32"/>
                <w:vertAlign w:val="baseline"/>
                <w:lang w:val="en-US" w:eastAsia="zh-CN" w:bidi="ar-SA"/>
              </w:rPr>
            </w:pPr>
            <w:r>
              <w:rPr>
                <w:rFonts w:hint="default" w:ascii="Times New Roman" w:hAnsi="Times New Roman" w:eastAsia="仿宋" w:cs="Times New Roman"/>
                <w:b/>
                <w:bCs/>
                <w:sz w:val="32"/>
                <w:szCs w:val="32"/>
                <w:vertAlign w:val="baseline"/>
                <w:lang w:val="en-US" w:eastAsia="zh-CN" w:bidi="ar-SA"/>
              </w:rPr>
              <w:t>应用领域</w:t>
            </w:r>
          </w:p>
        </w:tc>
        <w:tc>
          <w:tcPr>
            <w:tcW w:w="4391" w:type="dxa"/>
            <w:noWrap w:val="0"/>
            <w:vAlign w:val="center"/>
          </w:tcPr>
          <w:p w14:paraId="3EE29571">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b/>
                <w:bCs/>
                <w:sz w:val="32"/>
                <w:szCs w:val="32"/>
                <w:vertAlign w:val="baseline"/>
                <w:lang w:val="en-US" w:eastAsia="zh-CN" w:bidi="ar-SA"/>
              </w:rPr>
            </w:pPr>
            <w:r>
              <w:rPr>
                <w:rFonts w:hint="default" w:ascii="Times New Roman" w:hAnsi="Times New Roman" w:eastAsia="仿宋" w:cs="Times New Roman"/>
                <w:b/>
                <w:bCs/>
                <w:sz w:val="32"/>
                <w:szCs w:val="32"/>
                <w:vertAlign w:val="baseline"/>
                <w:lang w:val="en-US" w:eastAsia="zh-CN" w:bidi="ar-SA"/>
              </w:rPr>
              <w:t>拟提供产品和服务</w:t>
            </w:r>
          </w:p>
        </w:tc>
      </w:tr>
      <w:tr w14:paraId="4B889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6" w:type="dxa"/>
            <w:noWrap w:val="0"/>
            <w:vAlign w:val="center"/>
          </w:tcPr>
          <w:p w14:paraId="5ED7A44F">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1</w:t>
            </w:r>
          </w:p>
        </w:tc>
        <w:tc>
          <w:tcPr>
            <w:tcW w:w="1909" w:type="dxa"/>
            <w:vMerge w:val="restart"/>
            <w:noWrap w:val="0"/>
            <w:vAlign w:val="center"/>
          </w:tcPr>
          <w:p w14:paraId="6520AFBF">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公共治理、公益事业类</w:t>
            </w:r>
          </w:p>
        </w:tc>
        <w:tc>
          <w:tcPr>
            <w:tcW w:w="2714" w:type="dxa"/>
            <w:noWrap w:val="0"/>
            <w:vAlign w:val="center"/>
          </w:tcPr>
          <w:p w14:paraId="362F137C">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生态价值</w:t>
            </w:r>
          </w:p>
        </w:tc>
        <w:tc>
          <w:tcPr>
            <w:tcW w:w="4391" w:type="dxa"/>
            <w:noWrap w:val="0"/>
            <w:vAlign w:val="center"/>
          </w:tcPr>
          <w:p w14:paraId="3AC1FAF4">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GEP核算模型及价值报告</w:t>
            </w:r>
          </w:p>
        </w:tc>
      </w:tr>
      <w:tr w14:paraId="63906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6" w:type="dxa"/>
            <w:noWrap w:val="0"/>
            <w:vAlign w:val="center"/>
          </w:tcPr>
          <w:p w14:paraId="555D8C69">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2</w:t>
            </w:r>
          </w:p>
        </w:tc>
        <w:tc>
          <w:tcPr>
            <w:tcW w:w="1909" w:type="dxa"/>
            <w:vMerge w:val="continue"/>
            <w:noWrap w:val="0"/>
            <w:vAlign w:val="center"/>
          </w:tcPr>
          <w:p w14:paraId="33FB25C7">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p>
        </w:tc>
        <w:tc>
          <w:tcPr>
            <w:tcW w:w="2714" w:type="dxa"/>
            <w:noWrap w:val="0"/>
            <w:vAlign w:val="center"/>
          </w:tcPr>
          <w:p w14:paraId="08C20D69">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生态价值</w:t>
            </w:r>
          </w:p>
        </w:tc>
        <w:tc>
          <w:tcPr>
            <w:tcW w:w="4391" w:type="dxa"/>
            <w:noWrap w:val="0"/>
            <w:vAlign w:val="center"/>
          </w:tcPr>
          <w:p w14:paraId="106C49B9">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VEP核算模型及价值报告</w:t>
            </w:r>
          </w:p>
        </w:tc>
      </w:tr>
      <w:tr w14:paraId="21E07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6" w:type="dxa"/>
            <w:noWrap w:val="0"/>
            <w:vAlign w:val="center"/>
          </w:tcPr>
          <w:p w14:paraId="68CD5932">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3</w:t>
            </w:r>
          </w:p>
        </w:tc>
        <w:tc>
          <w:tcPr>
            <w:tcW w:w="1909" w:type="dxa"/>
            <w:vMerge w:val="continue"/>
            <w:noWrap w:val="0"/>
            <w:vAlign w:val="center"/>
          </w:tcPr>
          <w:p w14:paraId="57AD6018">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p>
        </w:tc>
        <w:tc>
          <w:tcPr>
            <w:tcW w:w="2714" w:type="dxa"/>
            <w:noWrap w:val="0"/>
            <w:vAlign w:val="center"/>
          </w:tcPr>
          <w:p w14:paraId="57422083">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应急管理</w:t>
            </w:r>
          </w:p>
        </w:tc>
        <w:tc>
          <w:tcPr>
            <w:tcW w:w="4391" w:type="dxa"/>
            <w:noWrap w:val="0"/>
            <w:vAlign w:val="center"/>
          </w:tcPr>
          <w:p w14:paraId="256F8559">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应急管理数据集</w:t>
            </w:r>
          </w:p>
        </w:tc>
      </w:tr>
      <w:tr w14:paraId="0F97C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6" w:type="dxa"/>
            <w:noWrap w:val="0"/>
            <w:vAlign w:val="center"/>
          </w:tcPr>
          <w:p w14:paraId="55BB5062">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4</w:t>
            </w:r>
          </w:p>
        </w:tc>
        <w:tc>
          <w:tcPr>
            <w:tcW w:w="1909" w:type="dxa"/>
            <w:vMerge w:val="continue"/>
            <w:noWrap w:val="0"/>
            <w:vAlign w:val="center"/>
          </w:tcPr>
          <w:p w14:paraId="0B431FBE">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p>
        </w:tc>
        <w:tc>
          <w:tcPr>
            <w:tcW w:w="2714" w:type="dxa"/>
            <w:noWrap w:val="0"/>
            <w:vAlign w:val="center"/>
          </w:tcPr>
          <w:p w14:paraId="5A9C3DFE">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应急管理</w:t>
            </w:r>
          </w:p>
        </w:tc>
        <w:tc>
          <w:tcPr>
            <w:tcW w:w="4391" w:type="dxa"/>
            <w:noWrap w:val="0"/>
            <w:vAlign w:val="center"/>
          </w:tcPr>
          <w:p w14:paraId="169DF9D6">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应急风险预警服务</w:t>
            </w:r>
          </w:p>
        </w:tc>
      </w:tr>
      <w:tr w14:paraId="01AF9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6" w:type="dxa"/>
            <w:noWrap w:val="0"/>
            <w:vAlign w:val="center"/>
          </w:tcPr>
          <w:p w14:paraId="1394787A">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5</w:t>
            </w:r>
          </w:p>
        </w:tc>
        <w:tc>
          <w:tcPr>
            <w:tcW w:w="1909" w:type="dxa"/>
            <w:vMerge w:val="continue"/>
            <w:noWrap w:val="0"/>
            <w:vAlign w:val="center"/>
          </w:tcPr>
          <w:p w14:paraId="463543C8">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p>
        </w:tc>
        <w:tc>
          <w:tcPr>
            <w:tcW w:w="2714" w:type="dxa"/>
            <w:noWrap w:val="0"/>
            <w:vAlign w:val="center"/>
          </w:tcPr>
          <w:p w14:paraId="5B2B6488">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民政服务</w:t>
            </w:r>
          </w:p>
        </w:tc>
        <w:tc>
          <w:tcPr>
            <w:tcW w:w="4391" w:type="dxa"/>
            <w:noWrap w:val="0"/>
            <w:vAlign w:val="center"/>
          </w:tcPr>
          <w:p w14:paraId="50C85083">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民政公共服务数据产品</w:t>
            </w:r>
          </w:p>
        </w:tc>
      </w:tr>
      <w:tr w14:paraId="4F8E2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6" w:type="dxa"/>
            <w:noWrap w:val="0"/>
            <w:vAlign w:val="center"/>
          </w:tcPr>
          <w:p w14:paraId="63C7413F">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6</w:t>
            </w:r>
          </w:p>
        </w:tc>
        <w:tc>
          <w:tcPr>
            <w:tcW w:w="1909" w:type="dxa"/>
            <w:vMerge w:val="restart"/>
            <w:noWrap w:val="0"/>
            <w:vAlign w:val="center"/>
          </w:tcPr>
          <w:p w14:paraId="5F762CE7">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产业发展、行业发展类</w:t>
            </w:r>
          </w:p>
        </w:tc>
        <w:tc>
          <w:tcPr>
            <w:tcW w:w="2714" w:type="dxa"/>
            <w:noWrap w:val="0"/>
            <w:vAlign w:val="center"/>
          </w:tcPr>
          <w:p w14:paraId="77A39419">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文旅公共服务</w:t>
            </w:r>
          </w:p>
        </w:tc>
        <w:tc>
          <w:tcPr>
            <w:tcW w:w="4391" w:type="dxa"/>
            <w:noWrap w:val="0"/>
            <w:vAlign w:val="center"/>
          </w:tcPr>
          <w:p w14:paraId="6FDCF52D">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通化文旅一图游</w:t>
            </w:r>
          </w:p>
        </w:tc>
      </w:tr>
      <w:tr w14:paraId="48A61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6" w:type="dxa"/>
            <w:noWrap w:val="0"/>
            <w:vAlign w:val="center"/>
          </w:tcPr>
          <w:p w14:paraId="01605D6C">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7</w:t>
            </w:r>
          </w:p>
        </w:tc>
        <w:tc>
          <w:tcPr>
            <w:tcW w:w="1909" w:type="dxa"/>
            <w:vMerge w:val="continue"/>
            <w:noWrap w:val="0"/>
            <w:vAlign w:val="center"/>
          </w:tcPr>
          <w:p w14:paraId="5FD208CF">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p>
        </w:tc>
        <w:tc>
          <w:tcPr>
            <w:tcW w:w="2714" w:type="dxa"/>
            <w:noWrap w:val="0"/>
            <w:vAlign w:val="center"/>
          </w:tcPr>
          <w:p w14:paraId="7B0E47E9">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林业生态</w:t>
            </w:r>
          </w:p>
        </w:tc>
        <w:tc>
          <w:tcPr>
            <w:tcW w:w="4391" w:type="dxa"/>
            <w:noWrap w:val="0"/>
            <w:vAlign w:val="center"/>
          </w:tcPr>
          <w:p w14:paraId="5CD59C49">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林业生态名片数据产品</w:t>
            </w:r>
          </w:p>
        </w:tc>
      </w:tr>
      <w:tr w14:paraId="3FA90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6" w:type="dxa"/>
            <w:noWrap w:val="0"/>
            <w:vAlign w:val="center"/>
          </w:tcPr>
          <w:p w14:paraId="1073AEEF">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8</w:t>
            </w:r>
          </w:p>
        </w:tc>
        <w:tc>
          <w:tcPr>
            <w:tcW w:w="1909" w:type="dxa"/>
            <w:vMerge w:val="continue"/>
            <w:noWrap w:val="0"/>
            <w:vAlign w:val="center"/>
          </w:tcPr>
          <w:p w14:paraId="7D6138E4">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p>
        </w:tc>
        <w:tc>
          <w:tcPr>
            <w:tcW w:w="2714" w:type="dxa"/>
            <w:noWrap w:val="0"/>
            <w:vAlign w:val="center"/>
          </w:tcPr>
          <w:p w14:paraId="7C4E504F">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生态环境</w:t>
            </w:r>
          </w:p>
        </w:tc>
        <w:tc>
          <w:tcPr>
            <w:tcW w:w="4391" w:type="dxa"/>
            <w:noWrap w:val="0"/>
            <w:vAlign w:val="center"/>
          </w:tcPr>
          <w:p w14:paraId="42CBD687">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生态环境企业服务数据产品</w:t>
            </w:r>
          </w:p>
        </w:tc>
      </w:tr>
      <w:tr w14:paraId="1BDBF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6" w:type="dxa"/>
            <w:noWrap w:val="0"/>
            <w:vAlign w:val="center"/>
          </w:tcPr>
          <w:p w14:paraId="4B6C153E">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9</w:t>
            </w:r>
          </w:p>
        </w:tc>
        <w:tc>
          <w:tcPr>
            <w:tcW w:w="1909" w:type="dxa"/>
            <w:vMerge w:val="continue"/>
            <w:noWrap w:val="0"/>
            <w:vAlign w:val="center"/>
          </w:tcPr>
          <w:p w14:paraId="45E049F9">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p>
        </w:tc>
        <w:tc>
          <w:tcPr>
            <w:tcW w:w="2714" w:type="dxa"/>
            <w:noWrap w:val="0"/>
            <w:vAlign w:val="center"/>
          </w:tcPr>
          <w:p w14:paraId="0EBF0FC2">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自然资源</w:t>
            </w:r>
          </w:p>
        </w:tc>
        <w:tc>
          <w:tcPr>
            <w:tcW w:w="4391" w:type="dxa"/>
            <w:noWrap w:val="0"/>
            <w:vAlign w:val="center"/>
          </w:tcPr>
          <w:p w14:paraId="10ACF6EA">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不动产市场服务数据产品</w:t>
            </w:r>
          </w:p>
        </w:tc>
      </w:tr>
      <w:tr w14:paraId="256FB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6" w:type="dxa"/>
            <w:noWrap w:val="0"/>
            <w:vAlign w:val="center"/>
          </w:tcPr>
          <w:p w14:paraId="3FBF6952">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10</w:t>
            </w:r>
          </w:p>
        </w:tc>
        <w:tc>
          <w:tcPr>
            <w:tcW w:w="1909" w:type="dxa"/>
            <w:vMerge w:val="continue"/>
            <w:noWrap w:val="0"/>
            <w:vAlign w:val="center"/>
          </w:tcPr>
          <w:p w14:paraId="17DFF147">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p>
        </w:tc>
        <w:tc>
          <w:tcPr>
            <w:tcW w:w="2714" w:type="dxa"/>
            <w:noWrap w:val="0"/>
            <w:vAlign w:val="center"/>
          </w:tcPr>
          <w:p w14:paraId="44E10825">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住建市场</w:t>
            </w:r>
          </w:p>
        </w:tc>
        <w:tc>
          <w:tcPr>
            <w:tcW w:w="4391" w:type="dxa"/>
            <w:noWrap w:val="0"/>
            <w:vAlign w:val="center"/>
          </w:tcPr>
          <w:p w14:paraId="117E7E6E">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住建市场服务数据产品</w:t>
            </w:r>
          </w:p>
        </w:tc>
      </w:tr>
      <w:tr w14:paraId="3D644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6" w:type="dxa"/>
            <w:noWrap w:val="0"/>
            <w:vAlign w:val="center"/>
          </w:tcPr>
          <w:p w14:paraId="30C0D6E1">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11</w:t>
            </w:r>
          </w:p>
        </w:tc>
        <w:tc>
          <w:tcPr>
            <w:tcW w:w="1909" w:type="dxa"/>
            <w:vMerge w:val="continue"/>
            <w:noWrap w:val="0"/>
            <w:vAlign w:val="center"/>
          </w:tcPr>
          <w:p w14:paraId="46037E94">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p>
        </w:tc>
        <w:tc>
          <w:tcPr>
            <w:tcW w:w="2714" w:type="dxa"/>
            <w:noWrap w:val="0"/>
            <w:vAlign w:val="center"/>
          </w:tcPr>
          <w:p w14:paraId="4B1374F1">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公共交通</w:t>
            </w:r>
          </w:p>
        </w:tc>
        <w:tc>
          <w:tcPr>
            <w:tcW w:w="4391" w:type="dxa"/>
            <w:noWrap w:val="0"/>
            <w:vAlign w:val="center"/>
          </w:tcPr>
          <w:p w14:paraId="03E769F3">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公交站点查询数据服务包</w:t>
            </w:r>
          </w:p>
        </w:tc>
      </w:tr>
      <w:tr w14:paraId="6F53B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6" w:type="dxa"/>
            <w:noWrap w:val="0"/>
            <w:vAlign w:val="center"/>
          </w:tcPr>
          <w:p w14:paraId="38B04B7A">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12</w:t>
            </w:r>
          </w:p>
        </w:tc>
        <w:tc>
          <w:tcPr>
            <w:tcW w:w="1909" w:type="dxa"/>
            <w:vMerge w:val="continue"/>
            <w:noWrap w:val="0"/>
            <w:vAlign w:val="center"/>
          </w:tcPr>
          <w:p w14:paraId="6BC1C7F4">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p>
        </w:tc>
        <w:tc>
          <w:tcPr>
            <w:tcW w:w="2714" w:type="dxa"/>
            <w:noWrap w:val="0"/>
            <w:vAlign w:val="center"/>
          </w:tcPr>
          <w:p w14:paraId="7476A145">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金融服务</w:t>
            </w:r>
          </w:p>
        </w:tc>
        <w:tc>
          <w:tcPr>
            <w:tcW w:w="4391" w:type="dxa"/>
            <w:noWrap w:val="0"/>
            <w:vAlign w:val="center"/>
          </w:tcPr>
          <w:p w14:paraId="2EBE3A07">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企业信用画像</w:t>
            </w:r>
          </w:p>
        </w:tc>
      </w:tr>
      <w:tr w14:paraId="22CDE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6" w:type="dxa"/>
            <w:noWrap w:val="0"/>
            <w:vAlign w:val="center"/>
          </w:tcPr>
          <w:p w14:paraId="5DFE082B">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13</w:t>
            </w:r>
          </w:p>
        </w:tc>
        <w:tc>
          <w:tcPr>
            <w:tcW w:w="1909" w:type="dxa"/>
            <w:vMerge w:val="continue"/>
            <w:noWrap w:val="0"/>
            <w:vAlign w:val="center"/>
          </w:tcPr>
          <w:p w14:paraId="6A8346EF">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p>
        </w:tc>
        <w:tc>
          <w:tcPr>
            <w:tcW w:w="2714" w:type="dxa"/>
            <w:noWrap w:val="0"/>
            <w:vAlign w:val="center"/>
          </w:tcPr>
          <w:p w14:paraId="30EA3482">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金融服务</w:t>
            </w:r>
          </w:p>
        </w:tc>
        <w:tc>
          <w:tcPr>
            <w:tcW w:w="4391" w:type="dxa"/>
            <w:noWrap w:val="0"/>
            <w:vAlign w:val="center"/>
          </w:tcPr>
          <w:p w14:paraId="0AF08556">
            <w:pPr>
              <w:pStyle w:val="2"/>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vertAlign w:val="baseline"/>
                <w:lang w:val="en-US" w:eastAsia="zh-CN" w:bidi="ar-SA"/>
              </w:rPr>
            </w:pPr>
            <w:r>
              <w:rPr>
                <w:rFonts w:hint="default" w:ascii="Times New Roman" w:hAnsi="Times New Roman" w:eastAsia="仿宋" w:cs="Times New Roman"/>
                <w:sz w:val="32"/>
                <w:szCs w:val="32"/>
                <w:vertAlign w:val="baseline"/>
                <w:lang w:val="en-US" w:eastAsia="zh-CN" w:bidi="ar-SA"/>
              </w:rPr>
              <w:t>企业中标信息服务</w:t>
            </w:r>
          </w:p>
        </w:tc>
      </w:tr>
    </w:tbl>
    <w:p w14:paraId="6966C014">
      <w:pPr>
        <w:pStyle w:val="2"/>
        <w:keepNext w:val="0"/>
        <w:keepLines w:val="0"/>
        <w:pageBreakBefore w:val="0"/>
        <w:widowControl w:val="0"/>
        <w:kinsoku/>
        <w:wordWrap/>
        <w:overflowPunct/>
        <w:topLinePunct w:val="0"/>
        <w:autoSpaceDE/>
        <w:autoSpaceDN/>
        <w:bidi w:val="0"/>
        <w:adjustRightInd/>
        <w:snapToGrid/>
        <w:spacing w:line="576" w:lineRule="exact"/>
        <w:jc w:val="both"/>
        <w:textAlignment w:val="auto"/>
        <w:rPr>
          <w:rFonts w:hint="eastAsia" w:ascii="方正大标宋_GBK" w:hAnsi="方正大标宋_GBK" w:eastAsia="方正大标宋_GBK" w:cs="方正大标宋_GBK"/>
          <w:sz w:val="44"/>
          <w:szCs w:val="44"/>
          <w:lang w:val="en-US" w:eastAsia="zh-CN" w:bidi="ar-SA"/>
        </w:rPr>
      </w:pPr>
    </w:p>
    <w:p w14:paraId="32AF5652">
      <w:pPr>
        <w:keepNext w:val="0"/>
        <w:keepLines w:val="0"/>
        <w:pageBreakBefore w:val="0"/>
        <w:widowControl w:val="0"/>
        <w:kinsoku/>
        <w:wordWrap/>
        <w:overflowPunct/>
        <w:topLinePunct w:val="0"/>
        <w:autoSpaceDE/>
        <w:autoSpaceDN/>
        <w:bidi w:val="0"/>
        <w:adjustRightInd/>
        <w:snapToGrid/>
        <w:spacing w:after="157" w:afterLines="50" w:line="576" w:lineRule="exact"/>
        <w:ind w:firstLine="640" w:firstLineChars="200"/>
        <w:jc w:val="left"/>
        <w:textAlignment w:val="auto"/>
        <w:rPr>
          <w:rFonts w:hint="default" w:ascii="仿宋_GB2312" w:hAnsi="仿宋_GB2312" w:eastAsia="仿宋_GB2312" w:cs="仿宋_GB2312"/>
          <w:sz w:val="32"/>
          <w:szCs w:val="32"/>
          <w:lang w:val="en-US" w:eastAsia="zh-CN"/>
        </w:rPr>
      </w:pPr>
    </w:p>
    <w:sectPr>
      <w:footerReference r:id="rId3" w:type="default"/>
      <w:pgSz w:w="11906" w:h="16838"/>
      <w:pgMar w:top="2098" w:right="1474" w:bottom="1984" w:left="1587" w:header="851" w:footer="1474"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仿宋_GB2312">
    <w:panose1 w:val="02010609030101010101"/>
    <w:charset w:val="86"/>
    <w:family w:val="modern"/>
    <w:pitch w:val="default"/>
    <w:sig w:usb0="00000001" w:usb1="080E0000" w:usb2="00000000" w:usb3="00000000" w:csb0="00040000" w:csb1="00000000"/>
  </w:font>
  <w:font w:name="方正大标宋简体">
    <w:altName w:val="微软雅黑"/>
    <w:panose1 w:val="02000000000000000000"/>
    <w:charset w:val="86"/>
    <w:family w:val="auto"/>
    <w:pitch w:val="default"/>
    <w:sig w:usb0="00000000" w:usb1="00000000" w:usb2="00000012" w:usb3="00000000" w:csb0="00040001" w:csb1="00000000"/>
  </w:font>
  <w:font w:name="方正小标宋简体">
    <w:altName w:val="仿宋_GB2312"/>
    <w:panose1 w:val="02000000000000000000"/>
    <w:charset w:val="86"/>
    <w:family w:val="script"/>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方正大标宋_GBK">
    <w:altName w:val="宋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400CA4">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B4063C">
                          <w:pPr>
                            <w:pStyle w:val="4"/>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1</w:t>
                          </w:r>
                          <w:r>
                            <w:rPr>
                              <w:rFonts w:ascii="Times New Roman" w:hAnsi="Times New Roman" w:cs="Times New Roman"/>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49B4063C">
                    <w:pPr>
                      <w:pStyle w:val="4"/>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1</w:t>
                    </w:r>
                    <w:r>
                      <w:rPr>
                        <w:rFonts w:ascii="Times New Roman" w:hAnsi="Times New Roman" w:cs="Times New Roman"/>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C00D09"/>
    <w:multiLevelType w:val="multilevel"/>
    <w:tmpl w:val="33C00D09"/>
    <w:lvl w:ilvl="0" w:tentative="0">
      <w:start w:val="1"/>
      <w:numFmt w:val="chineseCountingThousand"/>
      <w:pStyle w:val="34"/>
      <w:suff w:val="nothing"/>
      <w:lvlText w:val="第%1条　"/>
      <w:lvlJc w:val="left"/>
      <w:pPr>
        <w:ind w:left="1433" w:hanging="440"/>
      </w:pPr>
      <w:rPr>
        <w:rFonts w:hint="eastAsia" w:ascii="仿宋_GB2312" w:eastAsia="仿宋_GB2312"/>
        <w:b/>
        <w:bCs/>
        <w:i w:val="0"/>
        <w:iCs w:val="0"/>
        <w:strike w:val="0"/>
        <w:color w:val="000000"/>
        <w:sz w:val="32"/>
        <w:szCs w:val="32"/>
        <w:shd w:val="clear" w:color="auto" w:fill="auto"/>
        <w:lang w:val="en-US"/>
      </w:rPr>
    </w:lvl>
    <w:lvl w:ilvl="1" w:tentative="0">
      <w:start w:val="1"/>
      <w:numFmt w:val="lowerLetter"/>
      <w:lvlText w:val="%2)"/>
      <w:lvlJc w:val="left"/>
      <w:pPr>
        <w:ind w:left="2549" w:hanging="440"/>
      </w:pPr>
    </w:lvl>
    <w:lvl w:ilvl="2" w:tentative="0">
      <w:start w:val="1"/>
      <w:numFmt w:val="lowerRoman"/>
      <w:lvlText w:val="%3."/>
      <w:lvlJc w:val="right"/>
      <w:pPr>
        <w:ind w:left="2989" w:hanging="440"/>
      </w:pPr>
    </w:lvl>
    <w:lvl w:ilvl="3" w:tentative="0">
      <w:start w:val="1"/>
      <w:numFmt w:val="decimal"/>
      <w:lvlText w:val="%4."/>
      <w:lvlJc w:val="left"/>
      <w:pPr>
        <w:ind w:left="3429" w:hanging="440"/>
      </w:pPr>
    </w:lvl>
    <w:lvl w:ilvl="4" w:tentative="0">
      <w:start w:val="1"/>
      <w:numFmt w:val="lowerLetter"/>
      <w:lvlText w:val="%5)"/>
      <w:lvlJc w:val="left"/>
      <w:pPr>
        <w:ind w:left="3869" w:hanging="440"/>
      </w:pPr>
    </w:lvl>
    <w:lvl w:ilvl="5" w:tentative="0">
      <w:start w:val="1"/>
      <w:numFmt w:val="lowerRoman"/>
      <w:lvlText w:val="%6."/>
      <w:lvlJc w:val="right"/>
      <w:pPr>
        <w:ind w:left="4309" w:hanging="440"/>
      </w:pPr>
    </w:lvl>
    <w:lvl w:ilvl="6" w:tentative="0">
      <w:start w:val="1"/>
      <w:numFmt w:val="decimal"/>
      <w:lvlText w:val="%7."/>
      <w:lvlJc w:val="left"/>
      <w:pPr>
        <w:ind w:left="4749" w:hanging="440"/>
      </w:pPr>
    </w:lvl>
    <w:lvl w:ilvl="7" w:tentative="0">
      <w:start w:val="1"/>
      <w:numFmt w:val="lowerLetter"/>
      <w:lvlText w:val="%8)"/>
      <w:lvlJc w:val="left"/>
      <w:pPr>
        <w:ind w:left="5189" w:hanging="440"/>
      </w:pPr>
    </w:lvl>
    <w:lvl w:ilvl="8" w:tentative="0">
      <w:start w:val="1"/>
      <w:numFmt w:val="lowerRoman"/>
      <w:lvlText w:val="%9."/>
      <w:lvlJc w:val="right"/>
      <w:pPr>
        <w:ind w:left="5629"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hlOTEyMjQ4OTZhZmY1N2FhZTIzNDk4YWIzNDgzMTAifQ=="/>
  </w:docVars>
  <w:rsids>
    <w:rsidRoot w:val="00E52A2C"/>
    <w:rsid w:val="009C5E22"/>
    <w:rsid w:val="00C25FEC"/>
    <w:rsid w:val="00E52A2C"/>
    <w:rsid w:val="015F550B"/>
    <w:rsid w:val="01CF3D39"/>
    <w:rsid w:val="043C7444"/>
    <w:rsid w:val="07C76B1F"/>
    <w:rsid w:val="07F8011A"/>
    <w:rsid w:val="088E72AF"/>
    <w:rsid w:val="08FB2C99"/>
    <w:rsid w:val="09DF379B"/>
    <w:rsid w:val="0A044839"/>
    <w:rsid w:val="0B1568F8"/>
    <w:rsid w:val="0D7A1AB3"/>
    <w:rsid w:val="0E0835CF"/>
    <w:rsid w:val="110B7FD2"/>
    <w:rsid w:val="128B54ED"/>
    <w:rsid w:val="15312212"/>
    <w:rsid w:val="15FD1751"/>
    <w:rsid w:val="16003C46"/>
    <w:rsid w:val="16EE773F"/>
    <w:rsid w:val="1708668E"/>
    <w:rsid w:val="17BA3131"/>
    <w:rsid w:val="188D259F"/>
    <w:rsid w:val="1DC654EC"/>
    <w:rsid w:val="1E353E91"/>
    <w:rsid w:val="1EF712FA"/>
    <w:rsid w:val="206C16FB"/>
    <w:rsid w:val="20A64FBE"/>
    <w:rsid w:val="22265242"/>
    <w:rsid w:val="236B654F"/>
    <w:rsid w:val="23E105A3"/>
    <w:rsid w:val="25B6162D"/>
    <w:rsid w:val="26DFFFEA"/>
    <w:rsid w:val="287B776A"/>
    <w:rsid w:val="2A3234DB"/>
    <w:rsid w:val="2CD55B21"/>
    <w:rsid w:val="2CE52BB7"/>
    <w:rsid w:val="318239D2"/>
    <w:rsid w:val="332D1BC5"/>
    <w:rsid w:val="33AC21E1"/>
    <w:rsid w:val="34E71F9F"/>
    <w:rsid w:val="3912025B"/>
    <w:rsid w:val="398E5EEF"/>
    <w:rsid w:val="3B012D66"/>
    <w:rsid w:val="3EA56ED1"/>
    <w:rsid w:val="44D844C9"/>
    <w:rsid w:val="457959ED"/>
    <w:rsid w:val="481E7C94"/>
    <w:rsid w:val="497B3B7C"/>
    <w:rsid w:val="49AA5611"/>
    <w:rsid w:val="4AAE64D4"/>
    <w:rsid w:val="4EAD62A5"/>
    <w:rsid w:val="4FA5306F"/>
    <w:rsid w:val="50730EC3"/>
    <w:rsid w:val="5140045F"/>
    <w:rsid w:val="517D569F"/>
    <w:rsid w:val="51E12DE6"/>
    <w:rsid w:val="52966267"/>
    <w:rsid w:val="52CB6470"/>
    <w:rsid w:val="550D406A"/>
    <w:rsid w:val="565D4E8B"/>
    <w:rsid w:val="573564ED"/>
    <w:rsid w:val="575F8F5B"/>
    <w:rsid w:val="588F5C0A"/>
    <w:rsid w:val="59CF2850"/>
    <w:rsid w:val="5BC06773"/>
    <w:rsid w:val="5CE00C69"/>
    <w:rsid w:val="5D4D0D97"/>
    <w:rsid w:val="5ED3693E"/>
    <w:rsid w:val="5FDE923C"/>
    <w:rsid w:val="60807652"/>
    <w:rsid w:val="61D3562B"/>
    <w:rsid w:val="628A36A1"/>
    <w:rsid w:val="62AF12F4"/>
    <w:rsid w:val="62DF0B92"/>
    <w:rsid w:val="63627F64"/>
    <w:rsid w:val="678E1EEE"/>
    <w:rsid w:val="67FD2F49"/>
    <w:rsid w:val="691D1BBF"/>
    <w:rsid w:val="69E9491B"/>
    <w:rsid w:val="6FA23B7D"/>
    <w:rsid w:val="71FF0F03"/>
    <w:rsid w:val="727A57E8"/>
    <w:rsid w:val="72F46299"/>
    <w:rsid w:val="73673960"/>
    <w:rsid w:val="759F429E"/>
    <w:rsid w:val="75BF6324"/>
    <w:rsid w:val="75BF6978"/>
    <w:rsid w:val="77B78175"/>
    <w:rsid w:val="77BE6CC5"/>
    <w:rsid w:val="7B8D5C53"/>
    <w:rsid w:val="7BDB702D"/>
    <w:rsid w:val="7C8458E2"/>
    <w:rsid w:val="7E9E0212"/>
    <w:rsid w:val="7EABB5C3"/>
    <w:rsid w:val="7F5FAD04"/>
    <w:rsid w:val="7F6B5028"/>
    <w:rsid w:val="7F7E1FAA"/>
    <w:rsid w:val="8FFE16B6"/>
    <w:rsid w:val="BE3BCB63"/>
    <w:rsid w:val="BE99C288"/>
    <w:rsid w:val="BF6FA6CD"/>
    <w:rsid w:val="C63372A7"/>
    <w:rsid w:val="CD65CB4E"/>
    <w:rsid w:val="CEDFE148"/>
    <w:rsid w:val="CFEB8434"/>
    <w:rsid w:val="DF7E9BA1"/>
    <w:rsid w:val="DFFF325B"/>
    <w:rsid w:val="EEBF0D6D"/>
    <w:rsid w:val="EF9744A2"/>
    <w:rsid w:val="F5F547B8"/>
    <w:rsid w:val="F8FF5D88"/>
    <w:rsid w:val="F9F595B7"/>
    <w:rsid w:val="F9FACEF0"/>
    <w:rsid w:val="FFFEE54F"/>
    <w:rsid w:val="FFFFEC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1"/>
    <w:rPr>
      <w:rFonts w:ascii="宋体" w:hAnsi="宋体" w:eastAsia="宋体" w:cs="宋体"/>
      <w:sz w:val="28"/>
      <w:szCs w:val="28"/>
      <w:lang w:val="zh-CN" w:bidi="zh-CN"/>
    </w:rPr>
  </w:style>
  <w:style w:type="paragraph" w:styleId="3">
    <w:name w:val="Body Text Indent"/>
    <w:basedOn w:val="1"/>
    <w:qFormat/>
    <w:uiPriority w:val="0"/>
    <w:pPr>
      <w:ind w:firstLine="6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qFormat/>
    <w:uiPriority w:val="0"/>
    <w:pPr>
      <w:spacing w:after="150"/>
      <w:jc w:val="left"/>
    </w:pPr>
    <w:rPr>
      <w:rFonts w:cs="Times New Roman"/>
      <w:kern w:val="0"/>
      <w:sz w:val="24"/>
    </w:rPr>
  </w:style>
  <w:style w:type="paragraph" w:styleId="7">
    <w:name w:val="Title"/>
    <w:basedOn w:val="1"/>
    <w:next w:val="1"/>
    <w:qFormat/>
    <w:uiPriority w:val="0"/>
    <w:pPr>
      <w:spacing w:line="700" w:lineRule="exact"/>
      <w:jc w:val="center"/>
    </w:pPr>
    <w:rPr>
      <w:rFonts w:ascii="黑体" w:hAnsi="Times New Roman" w:eastAsia="黑体" w:cs="Times New Roman"/>
      <w:snapToGrid w:val="0"/>
      <w:kern w:val="0"/>
      <w:sz w:val="44"/>
      <w:szCs w:val="44"/>
    </w:rPr>
  </w:style>
  <w:style w:type="paragraph" w:styleId="8">
    <w:name w:val="Body Text First Indent 2"/>
    <w:basedOn w:val="3"/>
    <w:qFormat/>
    <w:uiPriority w:val="0"/>
    <w:pPr>
      <w:spacing w:after="120"/>
      <w:ind w:left="420" w:firstLine="210"/>
    </w:pPr>
    <w:rPr>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character" w:styleId="13">
    <w:name w:val="FollowedHyperlink"/>
    <w:basedOn w:val="11"/>
    <w:qFormat/>
    <w:uiPriority w:val="0"/>
    <w:rPr>
      <w:color w:val="1FB1EA"/>
      <w:u w:val="none"/>
    </w:rPr>
  </w:style>
  <w:style w:type="character" w:styleId="14">
    <w:name w:val="HTML Definition"/>
    <w:basedOn w:val="11"/>
    <w:qFormat/>
    <w:uiPriority w:val="0"/>
    <w:rPr>
      <w:i/>
      <w:sz w:val="20"/>
      <w:szCs w:val="20"/>
    </w:rPr>
  </w:style>
  <w:style w:type="character" w:styleId="15">
    <w:name w:val="Hyperlink"/>
    <w:basedOn w:val="11"/>
    <w:qFormat/>
    <w:uiPriority w:val="0"/>
    <w:rPr>
      <w:color w:val="1FB1EA"/>
      <w:u w:val="none"/>
    </w:rPr>
  </w:style>
  <w:style w:type="character" w:styleId="16">
    <w:name w:val="HTML Code"/>
    <w:basedOn w:val="11"/>
    <w:qFormat/>
    <w:uiPriority w:val="0"/>
    <w:rPr>
      <w:rFonts w:ascii="Consolas" w:hAnsi="Consolas" w:eastAsia="Consolas" w:cs="Consolas"/>
      <w:color w:val="C7254E"/>
      <w:sz w:val="21"/>
      <w:szCs w:val="21"/>
      <w:shd w:val="clear" w:color="auto" w:fill="F9F2F4"/>
    </w:rPr>
  </w:style>
  <w:style w:type="character" w:styleId="17">
    <w:name w:val="HTML Keyboard"/>
    <w:basedOn w:val="11"/>
    <w:qFormat/>
    <w:uiPriority w:val="0"/>
    <w:rPr>
      <w:rFonts w:hint="default" w:ascii="Consolas" w:hAnsi="Consolas" w:eastAsia="Consolas" w:cs="Consolas"/>
      <w:color w:val="FFFFFF"/>
      <w:sz w:val="21"/>
      <w:szCs w:val="21"/>
      <w:shd w:val="clear" w:color="auto" w:fill="333333"/>
    </w:rPr>
  </w:style>
  <w:style w:type="character" w:styleId="18">
    <w:name w:val="HTML Sample"/>
    <w:basedOn w:val="11"/>
    <w:qFormat/>
    <w:uiPriority w:val="0"/>
    <w:rPr>
      <w:rFonts w:hint="default" w:ascii="Consolas" w:hAnsi="Consolas" w:eastAsia="Consolas" w:cs="Consolas"/>
      <w:sz w:val="21"/>
      <w:szCs w:val="21"/>
    </w:rPr>
  </w:style>
  <w:style w:type="character" w:customStyle="1" w:styleId="19">
    <w:name w:val="glyphicon6"/>
    <w:basedOn w:val="11"/>
    <w:qFormat/>
    <w:uiPriority w:val="0"/>
    <w:rPr>
      <w:color w:val="6E747B"/>
    </w:rPr>
  </w:style>
  <w:style w:type="character" w:customStyle="1" w:styleId="20">
    <w:name w:val="glyphicon7"/>
    <w:basedOn w:val="11"/>
    <w:qFormat/>
    <w:uiPriority w:val="0"/>
  </w:style>
  <w:style w:type="character" w:customStyle="1" w:styleId="21">
    <w:name w:val="count"/>
    <w:basedOn w:val="11"/>
    <w:qFormat/>
    <w:uiPriority w:val="0"/>
    <w:rPr>
      <w:color w:val="999999"/>
    </w:rPr>
  </w:style>
  <w:style w:type="character" w:customStyle="1" w:styleId="22">
    <w:name w:val="hover11"/>
    <w:basedOn w:val="11"/>
    <w:qFormat/>
    <w:uiPriority w:val="0"/>
    <w:rPr>
      <w:shd w:val="clear" w:color="auto" w:fill="EEEEEE"/>
    </w:rPr>
  </w:style>
  <w:style w:type="character" w:customStyle="1" w:styleId="23">
    <w:name w:val="old"/>
    <w:basedOn w:val="11"/>
    <w:qFormat/>
    <w:uiPriority w:val="0"/>
    <w:rPr>
      <w:color w:val="999999"/>
    </w:rPr>
  </w:style>
  <w:style w:type="character" w:customStyle="1" w:styleId="24">
    <w:name w:val="hour_am"/>
    <w:basedOn w:val="11"/>
    <w:qFormat/>
    <w:uiPriority w:val="0"/>
  </w:style>
  <w:style w:type="character" w:customStyle="1" w:styleId="25">
    <w:name w:val="hour_pm"/>
    <w:basedOn w:val="11"/>
    <w:qFormat/>
    <w:uiPriority w:val="0"/>
  </w:style>
  <w:style w:type="character" w:customStyle="1" w:styleId="26">
    <w:name w:val="caret17"/>
    <w:basedOn w:val="11"/>
    <w:qFormat/>
    <w:uiPriority w:val="0"/>
    <w:rPr>
      <w:color w:val="6E747B"/>
    </w:rPr>
  </w:style>
  <w:style w:type="character" w:customStyle="1" w:styleId="27">
    <w:name w:val="caret18"/>
    <w:basedOn w:val="11"/>
    <w:qFormat/>
    <w:uiPriority w:val="0"/>
  </w:style>
  <w:style w:type="character" w:customStyle="1" w:styleId="28">
    <w:name w:val="button"/>
    <w:basedOn w:val="11"/>
    <w:qFormat/>
    <w:uiPriority w:val="0"/>
  </w:style>
  <w:style w:type="character" w:customStyle="1" w:styleId="29">
    <w:name w:val="button1"/>
    <w:basedOn w:val="11"/>
    <w:qFormat/>
    <w:uiPriority w:val="0"/>
    <w:rPr>
      <w:bdr w:val="single" w:color="auto" w:sz="2" w:space="0"/>
    </w:rPr>
  </w:style>
  <w:style w:type="character" w:customStyle="1" w:styleId="30">
    <w:name w:val="caret"/>
    <w:basedOn w:val="11"/>
    <w:qFormat/>
    <w:uiPriority w:val="0"/>
    <w:rPr>
      <w:color w:val="6E747B"/>
    </w:rPr>
  </w:style>
  <w:style w:type="character" w:customStyle="1" w:styleId="31">
    <w:name w:val="caret1"/>
    <w:basedOn w:val="11"/>
    <w:qFormat/>
    <w:uiPriority w:val="0"/>
  </w:style>
  <w:style w:type="character" w:customStyle="1" w:styleId="32">
    <w:name w:val="caret19"/>
    <w:basedOn w:val="11"/>
    <w:qFormat/>
    <w:uiPriority w:val="0"/>
    <w:rPr>
      <w:color w:val="6E747B"/>
    </w:rPr>
  </w:style>
  <w:style w:type="character" w:customStyle="1" w:styleId="33">
    <w:name w:val="标准正文 Char"/>
    <w:qFormat/>
    <w:uiPriority w:val="0"/>
    <w:rPr>
      <w:rFonts w:eastAsia="仿宋_GB2312"/>
      <w:sz w:val="32"/>
    </w:rPr>
  </w:style>
  <w:style w:type="paragraph" w:customStyle="1" w:styleId="34">
    <w:name w:val="条样式"/>
    <w:basedOn w:val="1"/>
    <w:qFormat/>
    <w:uiPriority w:val="0"/>
    <w:pPr>
      <w:numPr>
        <w:ilvl w:val="0"/>
        <w:numId w:val="1"/>
      </w:numPr>
      <w:spacing w:line="560" w:lineRule="exact"/>
      <w:outlineLvl w:val="1"/>
    </w:pPr>
    <w:rPr>
      <w:rFonts w:ascii="仿宋_GB2312" w:eastAsia="仿宋_GB2312"/>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94</Words>
  <Characters>540</Characters>
  <Lines>4</Lines>
  <Paragraphs>1</Paragraphs>
  <TotalTime>0</TotalTime>
  <ScaleCrop>false</ScaleCrop>
  <LinksUpToDate>false</LinksUpToDate>
  <CharactersWithSpaces>633</CharactersWithSpaces>
  <Application>WPS Office_12.8.2.21555_F1E327BC-269C-435d-A152-05C5408002CA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2019-12-07T06:22:00Z</dcterms:created>
  <dc:creator>lenovo</dc:creator>
  <cp:lastModifiedBy>jin</cp:lastModifiedBy>
  <cp:lastPrinted>2021-04-04T02:21:00Z</cp:lastPrinted>
  <dcterms:modified xsi:type="dcterms:W3CDTF">2026-09-10T01:54:48Z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2052-12.8.2.21555</vt:lpwstr>
  </property>
  <property fmtid="{D5CDD505-2E9C-101B-9397-08002B2CF9AE}" pid="3" name="KSOSaveFontToCloudKey">
    <vt:lpwstr>269285093_btnclosed</vt:lpwstr>
  </property>
  <property fmtid="{D5CDD505-2E9C-101B-9397-08002B2CF9AE}" pid="4" name="ICV">
    <vt:lpwstr>B39F506E7101816FA69B8F6A9025F60A_43</vt:lpwstr>
  </property>
</Properties>
</file>