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p>
    <w:p>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《通化</w:t>
      </w:r>
      <w:r>
        <w:rPr>
          <w:rFonts w:hint="eastAsia" w:ascii="方正小标宋简体" w:hAnsi="方正小标宋简体" w:eastAsia="方正小标宋简体" w:cs="方正小标宋简体"/>
          <w:b w:val="0"/>
          <w:bCs w:val="0"/>
          <w:color w:val="auto"/>
          <w:sz w:val="44"/>
          <w:szCs w:val="44"/>
        </w:rPr>
        <w:t>市养老机构预收费存管规则</w:t>
      </w:r>
      <w:r>
        <w:rPr>
          <w:rFonts w:hint="eastAsia" w:ascii="方正小标宋简体" w:hAnsi="方正小标宋简体" w:eastAsia="方正小标宋简体" w:cs="方正小标宋简体"/>
          <w:b w:val="0"/>
          <w:bCs w:val="0"/>
          <w:color w:val="auto"/>
          <w:sz w:val="44"/>
          <w:szCs w:val="44"/>
          <w:lang w:eastAsia="zh-CN"/>
        </w:rPr>
        <w:t>（试行）</w:t>
      </w:r>
      <w:r>
        <w:rPr>
          <w:rFonts w:hint="eastAsia" w:ascii="方正小标宋简体" w:hAnsi="方正小标宋简体" w:eastAsia="方正小标宋简体" w:cs="方正小标宋简体"/>
          <w:b w:val="0"/>
          <w:bCs w:val="0"/>
          <w:color w:val="auto"/>
          <w:sz w:val="44"/>
          <w:szCs w:val="44"/>
          <w:lang w:val="en-US" w:eastAsia="zh-CN"/>
        </w:rPr>
        <w:t>》</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政策解读</w:t>
      </w:r>
    </w:p>
    <w:p>
      <w:pPr>
        <w:rPr>
          <w:rFonts w:hint="eastAsia" w:ascii="方正仿宋_GB2312" w:hAnsi="方正仿宋_GB2312" w:eastAsia="方正仿宋_GB2312" w:cs="方正仿宋_GB2312"/>
          <w:sz w:val="32"/>
          <w:szCs w:val="32"/>
        </w:rPr>
      </w:pPr>
    </w:p>
    <w:p>
      <w:p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为深入贯彻落实国家及吉林省关于加强养老机构预收费监管的工作部署，规范我市养老机构预收费行为，防范非法集资风险，保障老年人合法权益，促进养老服务行业健康有序发展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市民政局会同相关部门，</w:t>
      </w:r>
      <w:r>
        <w:rPr>
          <w:rFonts w:hint="default" w:ascii="Times New Roman" w:hAnsi="Times New Roman" w:eastAsia="仿宋_GB2312" w:cs="Times New Roman"/>
          <w:color w:val="auto"/>
          <w:sz w:val="32"/>
          <w:szCs w:val="32"/>
        </w:rPr>
        <w:t>结合我市实际，</w:t>
      </w:r>
      <w:r>
        <w:rPr>
          <w:rFonts w:hint="default" w:ascii="Times New Roman" w:hAnsi="Times New Roman" w:eastAsia="仿宋_GB2312" w:cs="Times New Roman"/>
          <w:color w:val="auto"/>
          <w:sz w:val="32"/>
          <w:szCs w:val="32"/>
          <w:lang w:eastAsia="zh-CN"/>
        </w:rPr>
        <w:t>起草</w:t>
      </w:r>
      <w:r>
        <w:rPr>
          <w:rFonts w:hint="default" w:ascii="Times New Roman" w:hAnsi="Times New Roman" w:eastAsia="仿宋_GB2312" w:cs="Times New Roman"/>
          <w:color w:val="auto"/>
          <w:sz w:val="32"/>
          <w:szCs w:val="32"/>
        </w:rPr>
        <w:t>了《通化市养老机构预收费</w:t>
      </w:r>
      <w:r>
        <w:rPr>
          <w:rFonts w:hint="default" w:ascii="Times New Roman" w:hAnsi="Times New Roman" w:eastAsia="仿宋_GB2312" w:cs="Times New Roman"/>
          <w:color w:val="auto"/>
          <w:sz w:val="32"/>
          <w:szCs w:val="32"/>
          <w:lang w:val="en-US" w:eastAsia="zh-CN"/>
        </w:rPr>
        <w:t>存管规则（试行）</w:t>
      </w:r>
      <w:r>
        <w:rPr>
          <w:rFonts w:hint="default" w:ascii="Times New Roman" w:hAnsi="Times New Roman" w:eastAsia="仿宋_GB2312" w:cs="Times New Roman"/>
          <w:color w:val="auto"/>
          <w:sz w:val="32"/>
          <w:szCs w:val="32"/>
        </w:rPr>
        <w:t>》（以下简称《</w:t>
      </w:r>
      <w:r>
        <w:rPr>
          <w:rFonts w:hint="default" w:ascii="Times New Roman" w:hAnsi="Times New Roman" w:eastAsia="仿宋_GB2312" w:cs="Times New Roman"/>
          <w:color w:val="auto"/>
          <w:sz w:val="32"/>
          <w:szCs w:val="32"/>
          <w:lang w:val="en-US" w:eastAsia="zh-CN"/>
        </w:rPr>
        <w:t>规则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eastAsia="zh-CN"/>
        </w:rPr>
        <w:t>《规则》制定必要性及依据</w:t>
      </w:r>
    </w:p>
    <w:p>
      <w:pPr>
        <w:ind w:firstLine="640"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为加强对</w:t>
      </w:r>
      <w:r>
        <w:rPr>
          <w:rFonts w:hint="eastAsia" w:ascii="Times New Roman" w:hAnsi="Times New Roman" w:eastAsia="仿宋_GB2312" w:cs="Times New Roman"/>
          <w:color w:val="auto"/>
          <w:sz w:val="32"/>
          <w:szCs w:val="32"/>
          <w:lang w:eastAsia="zh-CN"/>
        </w:rPr>
        <w:t>养老机构</w:t>
      </w:r>
      <w:r>
        <w:rPr>
          <w:rFonts w:hint="default" w:ascii="Times New Roman" w:hAnsi="Times New Roman" w:eastAsia="仿宋_GB2312" w:cs="Times New Roman"/>
          <w:color w:val="auto"/>
          <w:sz w:val="32"/>
          <w:szCs w:val="32"/>
        </w:rPr>
        <w:t>预收费行为的监管，国家及省级层面相继出台了指导文件和</w:t>
      </w:r>
      <w:r>
        <w:rPr>
          <w:rFonts w:hint="default" w:ascii="Times New Roman" w:hAnsi="Times New Roman" w:eastAsia="仿宋_GB2312" w:cs="Times New Roman"/>
          <w:color w:val="auto"/>
          <w:sz w:val="32"/>
          <w:szCs w:val="32"/>
          <w:lang w:eastAsia="zh-CN"/>
        </w:rPr>
        <w:t>管理办法，并要求市（州）制定相应存管规则。本</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规则</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的制定，</w:t>
      </w:r>
      <w:r>
        <w:rPr>
          <w:rFonts w:hint="default" w:ascii="Times New Roman" w:hAnsi="Times New Roman" w:eastAsia="仿宋_GB2312" w:cs="Times New Roman"/>
          <w:color w:val="auto"/>
          <w:sz w:val="32"/>
          <w:szCs w:val="32"/>
        </w:rPr>
        <w:t>旨在构建具体、可操作的监管</w:t>
      </w:r>
      <w:r>
        <w:rPr>
          <w:rFonts w:hint="eastAsia" w:ascii="Times New Roman" w:hAnsi="Times New Roman" w:eastAsia="仿宋_GB2312" w:cs="Times New Roman"/>
          <w:color w:val="auto"/>
          <w:sz w:val="32"/>
          <w:szCs w:val="32"/>
          <w:lang w:eastAsia="zh-CN"/>
        </w:rPr>
        <w:t>措施</w:t>
      </w:r>
      <w:r>
        <w:rPr>
          <w:rFonts w:hint="default" w:ascii="Times New Roman" w:hAnsi="Times New Roman" w:eastAsia="仿宋_GB2312" w:cs="Times New Roman"/>
          <w:color w:val="auto"/>
          <w:sz w:val="32"/>
          <w:szCs w:val="32"/>
        </w:rPr>
        <w:t>，建立健全养老机构预收费的存管机制，明确各方权责，强化部门协同，从源头上防范资金挪用、非法集资等风险，确保老年人预交资金安全，维护养老服务市场秩序。</w:t>
      </w:r>
      <w:r>
        <w:rPr>
          <w:rFonts w:hint="default" w:ascii="Times New Roman" w:hAnsi="Times New Roman" w:eastAsia="仿宋_GB2312" w:cs="Times New Roman"/>
          <w:color w:val="auto"/>
          <w:sz w:val="32"/>
          <w:szCs w:val="32"/>
          <w:lang w:val="en-US" w:eastAsia="zh-CN"/>
        </w:rPr>
        <w:t>本《规则》的制定，主要依据</w:t>
      </w:r>
      <w:r>
        <w:rPr>
          <w:rFonts w:hint="default" w:ascii="Times New Roman" w:hAnsi="Times New Roman" w:eastAsia="仿宋_GB2312" w:cs="Times New Roman"/>
          <w:b w:val="0"/>
          <w:bCs w:val="0"/>
          <w:color w:val="auto"/>
          <w:sz w:val="32"/>
          <w:szCs w:val="32"/>
        </w:rPr>
        <w:t>民政部办公厅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金融监管总局办公厅</w:t>
      </w:r>
      <w:r>
        <w:rPr>
          <w:rFonts w:hint="default" w:ascii="Times New Roman" w:hAnsi="Times New Roman" w:eastAsia="仿宋_GB2312" w:cs="Times New Roman"/>
          <w:color w:val="auto"/>
          <w:sz w:val="32"/>
          <w:szCs w:val="32"/>
        </w:rPr>
        <w:t>《养老机构预收费存管工作指引》（民办发〔2025〕9号）</w:t>
      </w:r>
      <w:r>
        <w:rPr>
          <w:rFonts w:hint="default" w:ascii="Times New Roman" w:hAnsi="Times New Roman" w:eastAsia="仿宋_GB2312" w:cs="Times New Roman"/>
          <w:color w:val="auto"/>
          <w:sz w:val="32"/>
          <w:szCs w:val="32"/>
          <w:lang w:eastAsia="zh-CN"/>
        </w:rPr>
        <w:t>、吉林省民政厅等</w:t>
      </w:r>
      <w:r>
        <w:rPr>
          <w:rFonts w:hint="default" w:ascii="Times New Roman" w:hAnsi="Times New Roman" w:eastAsia="仿宋_GB2312" w:cs="Times New Roman"/>
          <w:color w:val="auto"/>
          <w:sz w:val="32"/>
          <w:szCs w:val="32"/>
          <w:lang w:val="en-US" w:eastAsia="zh-CN"/>
        </w:rPr>
        <w:t>7部门印发</w:t>
      </w:r>
      <w:r>
        <w:rPr>
          <w:rFonts w:hint="default" w:ascii="Times New Roman" w:hAnsi="Times New Roman" w:eastAsia="仿宋_GB2312" w:cs="Times New Roman"/>
          <w:color w:val="auto"/>
          <w:sz w:val="32"/>
          <w:szCs w:val="32"/>
        </w:rPr>
        <w:t>《吉林省养老机构预收费监管办法（试行）》</w:t>
      </w:r>
      <w:r>
        <w:rPr>
          <w:rFonts w:hint="default" w:ascii="Times New Roman" w:hAnsi="Times New Roman" w:eastAsia="仿宋_GB2312" w:cs="Times New Roman"/>
          <w:color w:val="auto"/>
          <w:sz w:val="32"/>
          <w:szCs w:val="32"/>
          <w:lang w:eastAsia="zh-CN"/>
        </w:rPr>
        <w:t>（吉民联〔2025〕1号）和吉林省民政厅等</w:t>
      </w:r>
      <w:r>
        <w:rPr>
          <w:rFonts w:hint="default" w:ascii="Times New Roman" w:hAnsi="Times New Roman" w:eastAsia="仿宋_GB2312" w:cs="Times New Roman"/>
          <w:color w:val="auto"/>
          <w:sz w:val="32"/>
          <w:szCs w:val="32"/>
          <w:lang w:val="en-US" w:eastAsia="zh-CN"/>
        </w:rPr>
        <w:t>7部门</w:t>
      </w:r>
      <w:r>
        <w:rPr>
          <w:rFonts w:hint="default" w:ascii="Times New Roman" w:hAnsi="Times New Roman" w:eastAsia="仿宋_GB2312" w:cs="Times New Roman"/>
          <w:color w:val="auto"/>
          <w:sz w:val="32"/>
          <w:szCs w:val="32"/>
          <w:lang w:eastAsia="zh-CN"/>
        </w:rPr>
        <w:t>《吉林省养老机构管理办法》（</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吉民发〔2020〕52号</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left"/>
        <w:textAlignment w:val="auto"/>
        <w:rPr>
          <w:rFonts w:hint="eastAsia" w:ascii="黑体" w:hAnsi="黑体" w:eastAsia="黑体" w:cs="黑体"/>
          <w:b w:val="0"/>
          <w:bCs/>
          <w:color w:val="auto"/>
          <w:sz w:val="32"/>
          <w:szCs w:val="32"/>
          <w:shd w:val="clear" w:fill="FFFFFF"/>
          <w:lang w:val="en-US"/>
        </w:rPr>
      </w:pPr>
      <w:r>
        <w:rPr>
          <w:rFonts w:hint="eastAsia" w:ascii="黑体" w:hAnsi="黑体" w:eastAsia="黑体" w:cs="黑体"/>
          <w:b w:val="0"/>
          <w:bCs w:val="0"/>
          <w:color w:val="auto"/>
          <w:sz w:val="32"/>
          <w:szCs w:val="32"/>
        </w:rPr>
        <w:t>二、</w:t>
      </w:r>
      <w:r>
        <w:rPr>
          <w:rFonts w:hint="eastAsia" w:ascii="黑体" w:hAnsi="黑体" w:eastAsia="黑体" w:cs="黑体"/>
          <w:b w:val="0"/>
          <w:bCs/>
          <w:color w:val="auto"/>
          <w:kern w:val="2"/>
          <w:sz w:val="32"/>
          <w:szCs w:val="32"/>
          <w:shd w:val="clear" w:fill="FFFFFF"/>
          <w:lang w:val="en-US" w:eastAsia="zh-CN" w:bidi="ar"/>
        </w:rPr>
        <w:t>《规则》起草情况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仿宋_GB2312" w:cs="Times New Roman"/>
          <w:bCs/>
          <w:color w:val="auto"/>
          <w:sz w:val="32"/>
          <w:szCs w:val="32"/>
          <w:shd w:val="clear" w:fill="FFFFFF"/>
          <w:lang w:val="en-US"/>
        </w:rPr>
      </w:pPr>
      <w:r>
        <w:rPr>
          <w:rFonts w:hint="default" w:ascii="Times New Roman" w:hAnsi="Times New Roman" w:eastAsia="仿宋_GB2312" w:cs="Times New Roman"/>
          <w:bCs/>
          <w:color w:val="auto"/>
          <w:kern w:val="2"/>
          <w:sz w:val="32"/>
          <w:szCs w:val="32"/>
          <w:shd w:val="clear" w:fill="FFFFFF"/>
          <w:lang w:val="en-US" w:eastAsia="zh-CN" w:bidi="ar"/>
        </w:rPr>
        <w:t>市民政局根据国家、省相关政策要求，会同相关部门，经过深入研究论证，</w:t>
      </w:r>
      <w:r>
        <w:rPr>
          <w:rFonts w:hint="eastAsia" w:ascii="Times New Roman" w:hAnsi="Times New Roman" w:eastAsia="仿宋_GB2312" w:cs="Times New Roman"/>
          <w:bCs/>
          <w:color w:val="auto"/>
          <w:kern w:val="2"/>
          <w:sz w:val="32"/>
          <w:szCs w:val="32"/>
          <w:shd w:val="clear" w:fill="FFFFFF"/>
          <w:lang w:val="en-US" w:eastAsia="zh-CN" w:bidi="ar"/>
        </w:rPr>
        <w:t>牵头起草了《规则》初稿，在</w:t>
      </w:r>
      <w:r>
        <w:rPr>
          <w:rFonts w:hint="default" w:ascii="Times New Roman" w:hAnsi="Times New Roman" w:eastAsia="仿宋_GB2312" w:cs="Times New Roman"/>
          <w:bCs/>
          <w:color w:val="auto"/>
          <w:kern w:val="2"/>
          <w:sz w:val="32"/>
          <w:szCs w:val="32"/>
          <w:shd w:val="clear" w:fill="FFFFFF"/>
          <w:lang w:val="en-US" w:eastAsia="zh-CN" w:bidi="ar"/>
        </w:rPr>
        <w:t>充分征求了通化金融监管分局、</w:t>
      </w:r>
      <w:r>
        <w:rPr>
          <w:rFonts w:hint="default" w:ascii="Times New Roman" w:hAnsi="Times New Roman" w:eastAsia="仿宋_GB2312" w:cs="Times New Roman"/>
          <w:color w:val="auto"/>
          <w:sz w:val="32"/>
          <w:szCs w:val="32"/>
          <w:lang w:val="en-US" w:eastAsia="zh-CN"/>
        </w:rPr>
        <w:t>人民银行通化支行</w:t>
      </w:r>
      <w:r>
        <w:rPr>
          <w:rFonts w:hint="default" w:ascii="Times New Roman" w:hAnsi="Times New Roman" w:eastAsia="仿宋_GB2312" w:cs="Times New Roman"/>
          <w:bCs/>
          <w:color w:val="auto"/>
          <w:kern w:val="2"/>
          <w:sz w:val="32"/>
          <w:szCs w:val="32"/>
          <w:shd w:val="clear" w:fill="FFFFFF"/>
          <w:lang w:val="en-US" w:eastAsia="zh-CN" w:bidi="ar"/>
        </w:rPr>
        <w:t>及各县（市、区）民政局</w:t>
      </w:r>
      <w:r>
        <w:rPr>
          <w:rFonts w:hint="eastAsia" w:ascii="Times New Roman" w:hAnsi="Times New Roman" w:eastAsia="仿宋_GB2312" w:cs="Times New Roman"/>
          <w:bCs/>
          <w:color w:val="auto"/>
          <w:kern w:val="2"/>
          <w:sz w:val="32"/>
          <w:szCs w:val="32"/>
          <w:shd w:val="clear" w:fill="FFFFFF"/>
          <w:lang w:val="en-US" w:eastAsia="zh-CN" w:bidi="ar"/>
        </w:rPr>
        <w:t>、金融监管支局</w:t>
      </w:r>
      <w:r>
        <w:rPr>
          <w:rFonts w:hint="default" w:ascii="Times New Roman" w:hAnsi="Times New Roman" w:eastAsia="仿宋_GB2312" w:cs="Times New Roman"/>
          <w:bCs/>
          <w:color w:val="auto"/>
          <w:kern w:val="2"/>
          <w:sz w:val="32"/>
          <w:szCs w:val="32"/>
          <w:shd w:val="clear" w:fill="FFFFFF"/>
          <w:lang w:val="en-US" w:eastAsia="zh-CN" w:bidi="ar"/>
        </w:rPr>
        <w:t>意见</w:t>
      </w:r>
      <w:r>
        <w:rPr>
          <w:rFonts w:hint="eastAsia" w:ascii="Times New Roman" w:hAnsi="Times New Roman" w:eastAsia="仿宋_GB2312" w:cs="Times New Roman"/>
          <w:bCs/>
          <w:color w:val="auto"/>
          <w:kern w:val="2"/>
          <w:sz w:val="32"/>
          <w:szCs w:val="32"/>
          <w:shd w:val="clear" w:fill="FFFFFF"/>
          <w:lang w:val="en-US" w:eastAsia="zh-CN" w:bidi="ar"/>
        </w:rPr>
        <w:t>后进行修改完善</w:t>
      </w:r>
      <w:r>
        <w:rPr>
          <w:rFonts w:hint="default" w:ascii="Times New Roman" w:hAnsi="Times New Roman" w:eastAsia="仿宋_GB2312" w:cs="Times New Roman"/>
          <w:bCs/>
          <w:color w:val="auto"/>
          <w:kern w:val="2"/>
          <w:sz w:val="32"/>
          <w:szCs w:val="32"/>
          <w:shd w:val="clear" w:fill="FFFFFF"/>
          <w:lang w:val="en-US" w:eastAsia="zh-CN" w:bidi="ar"/>
        </w:rPr>
        <w:t>，形</w:t>
      </w:r>
      <w:bookmarkStart w:id="0" w:name="_GoBack"/>
      <w:bookmarkEnd w:id="0"/>
      <w:r>
        <w:rPr>
          <w:rFonts w:hint="default" w:ascii="Times New Roman" w:hAnsi="Times New Roman" w:eastAsia="仿宋_GB2312" w:cs="Times New Roman"/>
          <w:bCs/>
          <w:color w:val="auto"/>
          <w:kern w:val="2"/>
          <w:sz w:val="32"/>
          <w:szCs w:val="32"/>
          <w:shd w:val="clear" w:fill="FFFFFF"/>
          <w:lang w:val="en-US" w:eastAsia="zh-CN" w:bidi="ar"/>
        </w:rPr>
        <w:t>成此</w:t>
      </w:r>
      <w:r>
        <w:rPr>
          <w:rFonts w:hint="eastAsia" w:ascii="Times New Roman" w:hAnsi="Times New Roman" w:eastAsia="仿宋_GB2312" w:cs="Times New Roman"/>
          <w:bCs/>
          <w:color w:val="auto"/>
          <w:kern w:val="2"/>
          <w:sz w:val="32"/>
          <w:szCs w:val="32"/>
          <w:shd w:val="clear" w:fill="FFFFFF"/>
          <w:lang w:val="en-US" w:eastAsia="zh-CN" w:bidi="ar"/>
        </w:rPr>
        <w:t>征求意见</w:t>
      </w:r>
      <w:r>
        <w:rPr>
          <w:rFonts w:hint="default" w:ascii="Times New Roman" w:hAnsi="Times New Roman" w:eastAsia="仿宋_GB2312" w:cs="Times New Roman"/>
          <w:bCs/>
          <w:color w:val="auto"/>
          <w:kern w:val="2"/>
          <w:sz w:val="32"/>
          <w:szCs w:val="32"/>
          <w:shd w:val="clear" w:fill="FFFFFF"/>
          <w:lang w:val="en-US" w:eastAsia="zh-CN" w:bidi="ar"/>
        </w:rPr>
        <w:t>稿。</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76" w:lineRule="exact"/>
        <w:ind w:leftChars="200" w:right="0" w:rightChars="0" w:firstLine="320" w:firstLineChars="100"/>
        <w:jc w:val="both"/>
        <w:textAlignment w:val="auto"/>
        <w:rPr>
          <w:rFonts w:hint="eastAsia" w:ascii="黑体" w:hAnsi="黑体" w:eastAsia="黑体" w:cs="黑体"/>
          <w:b w:val="0"/>
          <w:bCs w:val="0"/>
          <w:color w:val="auto"/>
          <w:kern w:val="2"/>
          <w:sz w:val="32"/>
          <w:szCs w:val="32"/>
          <w:lang w:val="en-US" w:eastAsia="zh-CN" w:bidi="ar"/>
        </w:rPr>
      </w:pPr>
      <w:r>
        <w:rPr>
          <w:rFonts w:hint="eastAsia" w:ascii="黑体" w:hAnsi="黑体" w:eastAsia="黑体" w:cs="黑体"/>
          <w:b w:val="0"/>
          <w:bCs w:val="0"/>
          <w:color w:val="auto"/>
          <w:kern w:val="2"/>
          <w:sz w:val="32"/>
          <w:szCs w:val="32"/>
          <w:lang w:val="en-US" w:eastAsia="zh-CN" w:bidi="ar"/>
        </w:rPr>
        <w:t>三、《规则》主要内容</w:t>
      </w:r>
    </w:p>
    <w:p>
      <w:pPr>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规则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共七章29条，</w:t>
      </w:r>
      <w:r>
        <w:rPr>
          <w:rFonts w:hint="default" w:ascii="Times New Roman" w:hAnsi="Times New Roman" w:eastAsia="仿宋_GB2312" w:cs="Times New Roman"/>
          <w:color w:val="auto"/>
          <w:sz w:val="32"/>
          <w:szCs w:val="32"/>
        </w:rPr>
        <w:t>第一章总则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介绍《规则》制定目的依据、适用范围、遵循原则及</w:t>
      </w:r>
      <w:r>
        <w:rPr>
          <w:rFonts w:hint="eastAsia" w:ascii="Times New Roman" w:hAnsi="Times New Roman" w:eastAsia="仿宋_GB2312" w:cs="Times New Roman"/>
          <w:color w:val="auto"/>
          <w:sz w:val="32"/>
          <w:szCs w:val="32"/>
          <w:lang w:eastAsia="zh-CN"/>
        </w:rPr>
        <w:t>部门职责</w:t>
      </w:r>
      <w:r>
        <w:rPr>
          <w:rFonts w:hint="default" w:ascii="Times New Roman" w:hAnsi="Times New Roman" w:eastAsia="仿宋_GB2312" w:cs="Times New Roman"/>
          <w:color w:val="auto"/>
          <w:sz w:val="32"/>
          <w:szCs w:val="32"/>
          <w:lang w:eastAsia="zh-CN"/>
        </w:rPr>
        <w:t>等内容；</w:t>
      </w:r>
      <w:r>
        <w:rPr>
          <w:rFonts w:hint="default" w:ascii="Times New Roman" w:hAnsi="Times New Roman" w:eastAsia="仿宋_GB2312" w:cs="Times New Roman"/>
          <w:color w:val="auto"/>
          <w:sz w:val="32"/>
          <w:szCs w:val="32"/>
        </w:rPr>
        <w:t>第二章账户管理</w:t>
      </w:r>
      <w:r>
        <w:rPr>
          <w:rFonts w:hint="default" w:ascii="Times New Roman" w:hAnsi="Times New Roman" w:eastAsia="仿宋_GB2312" w:cs="Times New Roman"/>
          <w:color w:val="auto"/>
          <w:sz w:val="32"/>
          <w:szCs w:val="32"/>
          <w:lang w:eastAsia="zh-CN"/>
        </w:rPr>
        <w:t>，明确了</w:t>
      </w:r>
      <w:r>
        <w:rPr>
          <w:rFonts w:hint="eastAsia" w:ascii="Times New Roman" w:hAnsi="Times New Roman" w:eastAsia="仿宋_GB2312" w:cs="Times New Roman"/>
          <w:color w:val="auto"/>
          <w:sz w:val="32"/>
          <w:szCs w:val="32"/>
          <w:lang w:eastAsia="zh-CN"/>
        </w:rPr>
        <w:t>专用存款账户</w:t>
      </w:r>
      <w:r>
        <w:rPr>
          <w:rFonts w:hint="default" w:ascii="Times New Roman" w:hAnsi="Times New Roman" w:eastAsia="仿宋_GB2312" w:cs="Times New Roman"/>
          <w:color w:val="auto"/>
          <w:sz w:val="32"/>
          <w:szCs w:val="32"/>
          <w:lang w:eastAsia="zh-CN"/>
        </w:rPr>
        <w:t>开户流程及要求等</w:t>
      </w:r>
      <w:r>
        <w:rPr>
          <w:rFonts w:hint="eastAsia" w:ascii="Times New Roman" w:hAnsi="Times New Roman" w:eastAsia="仿宋_GB2312" w:cs="Times New Roman"/>
          <w:color w:val="auto"/>
          <w:sz w:val="32"/>
          <w:szCs w:val="32"/>
          <w:lang w:eastAsia="zh-CN"/>
        </w:rPr>
        <w:t>内容</w:t>
      </w:r>
      <w:r>
        <w:rPr>
          <w:rFonts w:hint="default" w:ascii="Times New Roman" w:hAnsi="Times New Roman" w:eastAsia="仿宋_GB2312" w:cs="Times New Roman"/>
          <w:color w:val="auto"/>
          <w:sz w:val="32"/>
          <w:szCs w:val="32"/>
          <w:lang w:eastAsia="zh-CN"/>
        </w:rPr>
        <w:t>；第三章存管资金使用，规定资金收</w:t>
      </w:r>
      <w:r>
        <w:rPr>
          <w:rFonts w:hint="eastAsia" w:ascii="Times New Roman" w:hAnsi="Times New Roman" w:eastAsia="仿宋_GB2312" w:cs="Times New Roman"/>
          <w:color w:val="auto"/>
          <w:sz w:val="32"/>
          <w:szCs w:val="32"/>
          <w:lang w:eastAsia="zh-CN"/>
        </w:rPr>
        <w:t>取</w:t>
      </w:r>
      <w:r>
        <w:rPr>
          <w:rFonts w:hint="default" w:ascii="Times New Roman" w:hAnsi="Times New Roman" w:eastAsia="仿宋_GB2312" w:cs="Times New Roman"/>
          <w:color w:val="auto"/>
          <w:sz w:val="32"/>
          <w:szCs w:val="32"/>
          <w:lang w:eastAsia="zh-CN"/>
        </w:rPr>
        <w:t>、存款账户资金使用、风险保证金留存及账户注销等具体要求；第四章资金异常处置，明确专用存款账户出现资金异常流动情形的处置要求，避免资金风险；第五章部门工作职责，明确民政部门、金融监管部门具体工作职责；第六章机构权利义务，分别明确养老机构和存管银行的权利义务，确保政策有效落实；第七章附则，明确《规则》实施前已收取押金、会员费的处置情形</w:t>
      </w:r>
      <w:r>
        <w:rPr>
          <w:rFonts w:hint="eastAsia" w:ascii="Times New Roman" w:hAnsi="Times New Roman" w:eastAsia="仿宋_GB2312" w:cs="Times New Roman"/>
          <w:color w:val="auto"/>
          <w:sz w:val="32"/>
          <w:szCs w:val="32"/>
          <w:lang w:eastAsia="zh-CN"/>
        </w:rPr>
        <w:t>，以及本规则解释单位和实施时间</w:t>
      </w:r>
      <w:r>
        <w:rPr>
          <w:rFonts w:hint="default" w:ascii="Times New Roman" w:hAnsi="Times New Roman" w:eastAsia="仿宋_GB2312" w:cs="Times New Roman"/>
          <w:color w:val="auto"/>
          <w:sz w:val="32"/>
          <w:szCs w:val="32"/>
          <w:lang w:eastAsia="zh-CN"/>
        </w:rPr>
        <w:t>。</w:t>
      </w:r>
    </w:p>
    <w:p>
      <w:pPr>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四、《规则》制定</w:t>
      </w:r>
      <w:r>
        <w:rPr>
          <w:rFonts w:hint="eastAsia" w:ascii="黑体" w:hAnsi="黑体" w:eastAsia="黑体" w:cs="黑体"/>
          <w:b w:val="0"/>
          <w:bCs w:val="0"/>
          <w:color w:val="auto"/>
          <w:sz w:val="32"/>
          <w:szCs w:val="32"/>
        </w:rPr>
        <w:t>意义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规则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制定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是推动</w:t>
      </w:r>
      <w:r>
        <w:rPr>
          <w:rFonts w:hint="default" w:ascii="Times New Roman" w:hAnsi="Times New Roman" w:eastAsia="仿宋_GB2312" w:cs="Times New Roman"/>
          <w:color w:val="auto"/>
          <w:sz w:val="32"/>
          <w:szCs w:val="32"/>
        </w:rPr>
        <w:t>我市养老机构预收费管理规范化、制度化、透明化的</w:t>
      </w:r>
      <w:r>
        <w:rPr>
          <w:rFonts w:hint="default" w:ascii="Times New Roman" w:hAnsi="Times New Roman" w:eastAsia="仿宋_GB2312" w:cs="Times New Roman"/>
          <w:color w:val="auto"/>
          <w:sz w:val="32"/>
          <w:szCs w:val="32"/>
          <w:lang w:eastAsia="zh-CN"/>
        </w:rPr>
        <w:t>重要措施。</w:t>
      </w:r>
      <w:r>
        <w:rPr>
          <w:rFonts w:hint="default" w:ascii="Times New Roman" w:hAnsi="Times New Roman" w:eastAsia="仿宋_GB2312" w:cs="Times New Roman"/>
          <w:color w:val="auto"/>
          <w:sz w:val="32"/>
          <w:szCs w:val="32"/>
        </w:rPr>
        <w:t>通过商业银行第三方存管</w:t>
      </w:r>
      <w:r>
        <w:rPr>
          <w:rFonts w:hint="default" w:ascii="Times New Roman" w:hAnsi="Times New Roman" w:eastAsia="仿宋_GB2312" w:cs="Times New Roman"/>
          <w:color w:val="auto"/>
          <w:sz w:val="32"/>
          <w:szCs w:val="32"/>
          <w:lang w:eastAsia="zh-CN"/>
        </w:rPr>
        <w:t>，积极</w:t>
      </w:r>
      <w:r>
        <w:rPr>
          <w:rFonts w:hint="default" w:ascii="Times New Roman" w:hAnsi="Times New Roman" w:eastAsia="仿宋_GB2312" w:cs="Times New Roman"/>
          <w:color w:val="auto"/>
          <w:sz w:val="32"/>
          <w:szCs w:val="32"/>
        </w:rPr>
        <w:t>构建</w:t>
      </w:r>
      <w:r>
        <w:rPr>
          <w:rFonts w:hint="default" w:ascii="Times New Roman" w:hAnsi="Times New Roman" w:eastAsia="仿宋_GB2312" w:cs="Times New Roman"/>
          <w:color w:val="auto"/>
          <w:sz w:val="32"/>
          <w:szCs w:val="32"/>
          <w:lang w:eastAsia="zh-CN"/>
        </w:rPr>
        <w:t>养老机构预收费</w:t>
      </w:r>
      <w:r>
        <w:rPr>
          <w:rFonts w:hint="default" w:ascii="Times New Roman" w:hAnsi="Times New Roman" w:eastAsia="仿宋_GB2312" w:cs="Times New Roman"/>
          <w:color w:val="auto"/>
          <w:sz w:val="32"/>
          <w:szCs w:val="32"/>
        </w:rPr>
        <w:t>“收、管、用、退”</w:t>
      </w:r>
      <w:r>
        <w:rPr>
          <w:rFonts w:hint="default" w:ascii="Times New Roman" w:hAnsi="Times New Roman" w:eastAsia="仿宋_GB2312" w:cs="Times New Roman"/>
          <w:color w:val="auto"/>
          <w:sz w:val="32"/>
          <w:szCs w:val="32"/>
          <w:lang w:eastAsia="zh-CN"/>
        </w:rPr>
        <w:t>全过程</w:t>
      </w:r>
      <w:r>
        <w:rPr>
          <w:rFonts w:hint="default" w:ascii="Times New Roman" w:hAnsi="Times New Roman" w:eastAsia="仿宋_GB2312" w:cs="Times New Roman"/>
          <w:color w:val="auto"/>
          <w:sz w:val="32"/>
          <w:szCs w:val="32"/>
        </w:rPr>
        <w:t>的监管闭环，</w:t>
      </w:r>
      <w:r>
        <w:rPr>
          <w:rFonts w:hint="default" w:ascii="Times New Roman" w:hAnsi="Times New Roman" w:eastAsia="仿宋_GB2312" w:cs="Times New Roman"/>
          <w:color w:val="auto"/>
          <w:sz w:val="32"/>
          <w:szCs w:val="32"/>
          <w:lang w:eastAsia="zh-CN"/>
        </w:rPr>
        <w:t>进一步降低</w:t>
      </w:r>
      <w:r>
        <w:rPr>
          <w:rFonts w:hint="default" w:ascii="Times New Roman" w:hAnsi="Times New Roman" w:eastAsia="仿宋_GB2312" w:cs="Times New Roman"/>
          <w:color w:val="auto"/>
          <w:sz w:val="32"/>
          <w:szCs w:val="32"/>
        </w:rPr>
        <w:t>资金风险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推动我市养老服务业</w:t>
      </w:r>
      <w:r>
        <w:rPr>
          <w:rFonts w:hint="eastAsia" w:ascii="Times New Roman" w:hAnsi="Times New Roman" w:eastAsia="仿宋_GB2312" w:cs="Times New Roman"/>
          <w:color w:val="auto"/>
          <w:sz w:val="32"/>
          <w:szCs w:val="32"/>
          <w:lang w:eastAsia="zh-CN"/>
        </w:rPr>
        <w:t>高质量</w:t>
      </w:r>
      <w:r>
        <w:rPr>
          <w:rFonts w:hint="default" w:ascii="Times New Roman" w:hAnsi="Times New Roman" w:eastAsia="仿宋_GB2312" w:cs="Times New Roman"/>
          <w:color w:val="auto"/>
          <w:sz w:val="32"/>
          <w:szCs w:val="32"/>
        </w:rPr>
        <w:t>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66678"/>
    <w:rsid w:val="3969CD46"/>
    <w:rsid w:val="3D666678"/>
    <w:rsid w:val="3DFEA2B7"/>
    <w:rsid w:val="5C6569AC"/>
    <w:rsid w:val="637F7C92"/>
    <w:rsid w:val="69EF5726"/>
    <w:rsid w:val="78E9D38E"/>
    <w:rsid w:val="7B3B2360"/>
    <w:rsid w:val="7D1965E8"/>
    <w:rsid w:val="7F7FF7AA"/>
    <w:rsid w:val="7FB79C80"/>
    <w:rsid w:val="7FDF98BB"/>
    <w:rsid w:val="AFBDEEAA"/>
    <w:rsid w:val="EDDF11AB"/>
    <w:rsid w:val="FB7C7006"/>
    <w:rsid w:val="FF3A7BCD"/>
    <w:rsid w:val="FF74D3F4"/>
    <w:rsid w:val="FF7FF91A"/>
    <w:rsid w:val="FFDBBF87"/>
    <w:rsid w:val="FFFFE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3846</Words>
  <Characters>3857</Characters>
  <Lines>0</Lines>
  <Paragraphs>0</Paragraphs>
  <TotalTime>43</TotalTime>
  <ScaleCrop>false</ScaleCrop>
  <LinksUpToDate>false</LinksUpToDate>
  <CharactersWithSpaces>3892</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2025-12-27T00:57:00Z</dcterms:created>
  <dc:creator>weiye</dc:creator>
  <cp:lastModifiedBy>greatwall</cp:lastModifiedBy>
  <dcterms:modified xsi:type="dcterms:W3CDTF">2025-12-29T13:57:04Z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9F16B118ED5C4644BC9869CBFFE8BA34_11</vt:lpwstr>
  </property>
  <property fmtid="{D5CDD505-2E9C-101B-9397-08002B2CF9AE}" pid="4" name="KSOTemplateDocerSaveRecord">
    <vt:lpwstr>eyJoZGlkIjoiNzhmMWJlZjlhYzYxYTRlZjUyZjY1NGQzODdlNTIzNjUiLCJ1c2VySWQiOiIyNzc4MTU3NzQifQ==</vt:lpwstr>
  </property>
</Properties>
</file>