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</w:pPr>
    </w:p>
    <w:p w14:paraId="04E28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</w:pPr>
    </w:p>
    <w:p w14:paraId="10942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  <w:t>通市环建字</w:t>
      </w: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  <w:t>20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  <w:t>号</w:t>
      </w:r>
    </w:p>
    <w:p w14:paraId="21AD0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2444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通化钢铁股份有限公司节能减碳富余煤气综合利用发电项目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环境影响报告表的批复</w:t>
      </w:r>
    </w:p>
    <w:p w14:paraId="204F5C3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76E4EA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通化钢铁股份有限公司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 w14:paraId="7AF44E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委托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吉林省恒新环保科技有限公司编制的《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通化钢铁股份有限公司节能减碳富余煤气综合利用发电项目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环境影响报告表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》已收悉。该项目和环评报告经公示和专家审查，符合审批要求，现批复如下： </w:t>
      </w:r>
      <w:bookmarkStart w:id="0" w:name="_GoBack"/>
      <w:bookmarkEnd w:id="0"/>
    </w:p>
    <w:p w14:paraId="7B57164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一、建设项目基本情况和审批意见</w:t>
      </w:r>
    </w:p>
    <w:p w14:paraId="59A8F3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公司拟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化市二道江区通化钢铁股份有限公司现有厂区内，新建1台170t/h超高温超高压煤气锅炉+1台50MW超高温超高压带中间一次再热凝汽式汽轮机+1台50MW发电机组及配套辅助设施，利用厂区煤气管网高炉煤气、转炉煤气、焦炉煤气建设综合利用发电项目。项目建成后年供电量为3.185亿KW·h，所发电量全部自发自用不外售。</w:t>
      </w:r>
    </w:p>
    <w:p w14:paraId="4D3E2C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建设内容：主体工程包括1座主厂房，新建1台170t/h超高温超高压煤气锅炉、1台50MW超高温超高压带中间一次再热凝汽式汽轮机、热力系统包括3台高压加热器，1台除氧器及3台低压加热器，同步建设脱硫、脱硝、除尘等污染防治设施；辅助工程包括1座自然通风冷却塔、1座锅炉补水车间、1座综合楼；储运工程包括1台5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氮气储气罐、1台12m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氨水罐、1座容量80m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灰仓。</w:t>
      </w:r>
    </w:p>
    <w:p w14:paraId="7A714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符合国家产业政策，符合“三线一单”生态环境分区管控要求。根据环评报告结论，在全面落实报告提出的各项污染防治和环境风险防范措施后，我局原则同意环境影响报告中所列建设项目的性质、规模、地点和拟采取的环境保护措施，同意本项目建设。</w:t>
      </w:r>
    </w:p>
    <w:p w14:paraId="50FC0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本项目在设计、施工、验收和运行期间，应严格落实环境影响报告中提出的污染防治措施和本批复要求。本项目要做好以下环境保护工作： </w:t>
      </w:r>
    </w:p>
    <w:p w14:paraId="3996B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（一）严格落实施工期环境管理工作。落实本项目环评报告表提出的各项施工期环境保护措施，严格控制施工作业范围，合理制定施工方案，加强施工现场管理和施工人员生态环境保护意识的宣传教育，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优选低噪声施工机械，合理安排施工时间，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禁止夜间施工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运输材料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最大限度减少对周边环境的影响。</w:t>
      </w:r>
    </w:p>
    <w:p w14:paraId="2B2922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（二）严格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污染防治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措施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项目废水主要为锅炉软化废水、锅炉排水、生活污水。污染物主要为COD、BOD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氨氮、SS。锅炉软化废水、锅炉排水回用至循环冷却系统作补水，不外排。生活污水依托厂区现有综合污水处理站处理，出水水质满足《钢铁工业水污染物排放标准》(GB13456-2012)表2中直接排放标准限值后排入浑江。</w:t>
      </w:r>
    </w:p>
    <w:p w14:paraId="6F98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落实大气污染防治措施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项目废气主要为锅炉烟气、烟气脱硝过程产生少量的氨及灰仓废气。污染物主要为颗粒物、SO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sub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、NOx、林格曼黑度及氨。有组织废气中，锅炉采用低氮燃烧技术，废气经SC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R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脱硝处理+干法脱硫处理+布袋除尘器处理后，经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高锅炉烟囱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达标排放。无组织废气通过加强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优化喷雾分布、定期更换催化剂、吹灰等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过程控制、采取洒水抑尘等措施减少排放。</w:t>
      </w:r>
    </w:p>
    <w:p w14:paraId="1FA0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项目有组织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废气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产生的颗粒物、SO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sub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、NOx执行《关于推进实施钢铁行业超低排放的意见》（环大气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]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35号)中附件2钢铁企业超低排放指标限值要求，林格曼黑度执行《火电厂大气污染物排放标准》(GB13223-2011)表1排放标准。无组织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废气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产生的氨执行《恶臭污染物排放标准》(GB14554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93)表1中改扩建项目二级排放标准，颗粒物执行《大气污染物综合排放标准》(GB16297-1996)表2无组织排放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标准。其中颗粒物、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SO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sub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NOx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等污染物需安装在线监测设备，并与生态环境部门联网。</w:t>
      </w:r>
    </w:p>
    <w:p w14:paraId="02E58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严格落实噪声污染防治措施。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项目噪声源主要为锅炉、发电机、汽轮机、风机、泵类等设备产生的生产噪声，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优选低噪声设备，对噪声源设备采取室内安装、基础减震、建筑隔声等有效的噪声污染防治措施，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厂界噪声按照环评报告中确定的有关标准执行。</w:t>
      </w:r>
    </w:p>
    <w:p w14:paraId="54B6A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严格落实固体废物防治措施。项目产生的危险废物为设备维修保养产生的废矿物油、脱硝废催化剂等，贮存、处置要满足《危险废物贮存污染控制标准》（GB18597-2023）要求。其中废矿物油暂存于危废贮存库，委托有资质单位定期处置；脱硝废催化剂不暂存，产生后即产即清，委托有资质单位定期处理。</w:t>
      </w:r>
    </w:p>
    <w:p w14:paraId="46DB9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产生的一般固体废物为除尘灰、脱硫灰、废布袋、生活垃圾等，贮存、处置要满足《一般工业固体废物贮存、处置场污染控制标准》（GB18599-2020）要求。其中除尘灰、脱硫灰外售处理；废布袋厂家回收处理；生活垃圾由环卫部门外运处理。</w:t>
      </w:r>
    </w:p>
    <w:p w14:paraId="3BB72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健全环境风险防范机制。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本项目风险物质为煤气、氨水，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设置有效的环境事故应急体系，制定事故风险应急预案，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建立完善的贮存管理制度、分区防渗，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储备必须的应急物资与设施，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定期开展环境应急演练，提升突发环境风险事故应急处置能力。</w:t>
      </w:r>
    </w:p>
    <w:p w14:paraId="60643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（七）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本项目主要污染物控制指标：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化学需氧量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0.288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吨/年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、氨氮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0.029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吨/年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二氧化硫40.421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吨/年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氮氧化物64.214吨/年。</w:t>
      </w:r>
    </w:p>
    <w:p w14:paraId="7A597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环境影响报告经批准后，项目的性质、规模、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kern w:val="2"/>
          <w:sz w:val="32"/>
          <w:szCs w:val="32"/>
          <w:lang w:val="en-US" w:eastAsia="zh-CN" w:bidi="ar-SA"/>
        </w:rPr>
        <w:t>工艺、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地点或者防止生态破坏、防治污染措施发生重大变动的，应当在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kern w:val="2"/>
          <w:sz w:val="32"/>
          <w:szCs w:val="32"/>
          <w:lang w:val="en-US" w:eastAsia="zh-CN" w:bidi="ar-SA"/>
        </w:rPr>
        <w:t>变动前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重新报批该项目的环境影响报告。建设项目环境影响报告自批复之日起满5年，建设项目方开工建设的，其环境影响报告应当报我局重新审核。</w:t>
      </w:r>
    </w:p>
    <w:p w14:paraId="0BA05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项目建设应严格执行环境保护设施与主体工程同时设计、同时施工、同时投产使用的环境保护“三同时”制度。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kern w:val="2"/>
          <w:sz w:val="32"/>
          <w:szCs w:val="32"/>
          <w:lang w:val="en-US" w:eastAsia="zh-CN" w:bidi="ar-SA"/>
        </w:rPr>
        <w:t>项目竣工后，应公开竣工日期，并向属地生态环境局报告环保设施调试起止日期，环保设施调试3个月内，你单位要组织本项目环保验收，并将验收报告报属地生态环境部门备案。</w:t>
      </w:r>
    </w:p>
    <w:p w14:paraId="4C5D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严格落实排污许可管理要求，你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在取得环境影响评价审批意见后，排污行为发生前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个工作日内，向核发排污许可证的生态环境部门提出申请。</w:t>
      </w:r>
    </w:p>
    <w:p w14:paraId="6D9F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六、请通化市生态环境综合执法支队负责该项目施工期和运行期的监督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管理工作。</w:t>
      </w:r>
    </w:p>
    <w:p w14:paraId="32F1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ACB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A35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3" w:firstLineChars="150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通化市生态环境局</w:t>
      </w:r>
    </w:p>
    <w:p w14:paraId="34C9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3" w:firstLineChars="150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DA53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1BB1B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主题词：建设项目  环境影响  报告  批复</w:t>
      </w:r>
      <w:r>
        <w:rPr>
          <w:rFonts w:hint="default" w:ascii="Times New Roman" w:hAnsi="Times New Roman" w:eastAsia="方正小标宋简体" w:cs="Times New Roman"/>
          <w:sz w:val="32"/>
        </w:rPr>
        <w:t xml:space="preserve"> </w:t>
      </w:r>
    </w:p>
    <w:p w14:paraId="35A2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5080" r="0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6.25pt;z-index:251660288;mso-width-relative:page;mso-height-relative:page;" filled="f" stroked="t" coordsize="21600,21600" o:gfxdata="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YmFJLSAAAAAgEAAA8A&#10;AAAAAAAAAQAgAAAAIgAAAGRycy9kb3ducmV2LnhtbFBLAQIUABQAAAAIAIdO4kB9j5WN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w:t>通化市生态环境局                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</w:rPr>
        <w:t>日印发</w:t>
      </w:r>
    </w:p>
    <w:sectPr>
      <w:footerReference r:id="rId3" w:type="default"/>
      <w:pgSz w:w="11906" w:h="16838"/>
      <w:pgMar w:top="1418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855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2F63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2F63F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020CF"/>
    <w:rsid w:val="020531A4"/>
    <w:rsid w:val="03A5079A"/>
    <w:rsid w:val="04D035F5"/>
    <w:rsid w:val="058C1C12"/>
    <w:rsid w:val="07B93A96"/>
    <w:rsid w:val="0949606C"/>
    <w:rsid w:val="0A7B04A7"/>
    <w:rsid w:val="0AB061A6"/>
    <w:rsid w:val="0C8B7C21"/>
    <w:rsid w:val="0CEB1914"/>
    <w:rsid w:val="0D643474"/>
    <w:rsid w:val="0E664FCA"/>
    <w:rsid w:val="0EF12AE6"/>
    <w:rsid w:val="0F9D2C6D"/>
    <w:rsid w:val="109020CF"/>
    <w:rsid w:val="138A3509"/>
    <w:rsid w:val="15671D54"/>
    <w:rsid w:val="15CA22E2"/>
    <w:rsid w:val="17214184"/>
    <w:rsid w:val="17F13B56"/>
    <w:rsid w:val="18583BD5"/>
    <w:rsid w:val="187D363C"/>
    <w:rsid w:val="1AF52032"/>
    <w:rsid w:val="1D5102B1"/>
    <w:rsid w:val="1E3E386E"/>
    <w:rsid w:val="1E6E4D59"/>
    <w:rsid w:val="1F596B0E"/>
    <w:rsid w:val="1F933745"/>
    <w:rsid w:val="1FBC2C9C"/>
    <w:rsid w:val="2031368A"/>
    <w:rsid w:val="20B87907"/>
    <w:rsid w:val="217D645B"/>
    <w:rsid w:val="21B91B1C"/>
    <w:rsid w:val="23FE7D27"/>
    <w:rsid w:val="24CD76F9"/>
    <w:rsid w:val="25407ECB"/>
    <w:rsid w:val="26812549"/>
    <w:rsid w:val="268E625F"/>
    <w:rsid w:val="276D1712"/>
    <w:rsid w:val="2B285689"/>
    <w:rsid w:val="2B3E4EAD"/>
    <w:rsid w:val="2C332538"/>
    <w:rsid w:val="2CB27900"/>
    <w:rsid w:val="2D393B7E"/>
    <w:rsid w:val="304F5466"/>
    <w:rsid w:val="30C3032E"/>
    <w:rsid w:val="324A4137"/>
    <w:rsid w:val="34AA5361"/>
    <w:rsid w:val="35215623"/>
    <w:rsid w:val="37E66DC3"/>
    <w:rsid w:val="3814146F"/>
    <w:rsid w:val="389B393F"/>
    <w:rsid w:val="39316308"/>
    <w:rsid w:val="3986639D"/>
    <w:rsid w:val="3C017F5D"/>
    <w:rsid w:val="3CA60B04"/>
    <w:rsid w:val="3D5F13DF"/>
    <w:rsid w:val="3E6B29EB"/>
    <w:rsid w:val="40095632"/>
    <w:rsid w:val="422E7534"/>
    <w:rsid w:val="423170C2"/>
    <w:rsid w:val="42A203F3"/>
    <w:rsid w:val="44F468B0"/>
    <w:rsid w:val="458D0AB3"/>
    <w:rsid w:val="45C1250B"/>
    <w:rsid w:val="469F1403"/>
    <w:rsid w:val="471072A6"/>
    <w:rsid w:val="47BC11DC"/>
    <w:rsid w:val="48714FA4"/>
    <w:rsid w:val="488241D3"/>
    <w:rsid w:val="48904B42"/>
    <w:rsid w:val="49635DB3"/>
    <w:rsid w:val="4BAA4BA0"/>
    <w:rsid w:val="4C431ECB"/>
    <w:rsid w:val="4CE52F83"/>
    <w:rsid w:val="4EF83441"/>
    <w:rsid w:val="4FD92E63"/>
    <w:rsid w:val="51D81308"/>
    <w:rsid w:val="526112FD"/>
    <w:rsid w:val="53004672"/>
    <w:rsid w:val="54C70857"/>
    <w:rsid w:val="55284354"/>
    <w:rsid w:val="56336B0D"/>
    <w:rsid w:val="56865EF2"/>
    <w:rsid w:val="595B6AA6"/>
    <w:rsid w:val="5A7D2A4C"/>
    <w:rsid w:val="5B215ACE"/>
    <w:rsid w:val="5F182D44"/>
    <w:rsid w:val="603B13E0"/>
    <w:rsid w:val="60545FFD"/>
    <w:rsid w:val="658D448B"/>
    <w:rsid w:val="67E1461B"/>
    <w:rsid w:val="68150768"/>
    <w:rsid w:val="69813D2E"/>
    <w:rsid w:val="6A331379"/>
    <w:rsid w:val="6BC009EB"/>
    <w:rsid w:val="6DC347C2"/>
    <w:rsid w:val="6ECD58F9"/>
    <w:rsid w:val="6EDB5CDE"/>
    <w:rsid w:val="742C4ED3"/>
    <w:rsid w:val="74620891"/>
    <w:rsid w:val="74C7103C"/>
    <w:rsid w:val="754D1541"/>
    <w:rsid w:val="79E76C84"/>
    <w:rsid w:val="7DA36E89"/>
    <w:rsid w:val="7F0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3">
    <w:name w:val="toc 1"/>
    <w:basedOn w:val="1"/>
    <w:next w:val="1"/>
    <w:qFormat/>
    <w:uiPriority w:val="1"/>
    <w:rPr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paragraph" w:customStyle="1" w:styleId="9">
    <w:name w:val="DM正文"/>
    <w:basedOn w:val="1"/>
    <w:qFormat/>
    <w:uiPriority w:val="3"/>
    <w:pPr>
      <w:spacing w:line="360" w:lineRule="auto"/>
      <w:ind w:firstLine="200" w:firstLineChars="200"/>
    </w:pPr>
    <w:rPr>
      <w:rFonts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2205</Words>
  <Characters>2370</Characters>
  <Lines>0</Lines>
  <Paragraphs>0</Paragraphs>
  <TotalTime>9</TotalTime>
  <ScaleCrop>false</ScaleCrop>
  <LinksUpToDate>false</LinksUpToDate>
  <CharactersWithSpaces>2403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2024-11-21T00:35:00Z</dcterms:created>
  <dc:creator>随遇而安</dc:creator>
  <cp:lastModifiedBy>随遇而安</cp:lastModifiedBy>
  <cp:lastPrinted>2025-09-30T04:21:11Z</cp:lastPrinted>
  <dcterms:modified xsi:type="dcterms:W3CDTF">2025-09-30T04:22:14Z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A0A4A93883CF4A729A896B2A6AA42798_13</vt:lpwstr>
  </property>
  <property fmtid="{D5CDD505-2E9C-101B-9397-08002B2CF9AE}" pid="4" name="KSOTemplateDocerSaveRecord">
    <vt:lpwstr>eyJoZGlkIjoiZTk0ZjNhNjFmYzAwMjYyMTU5NmZlYzQzMzY3OWNhZWYiLCJ1c2VySWQiOiIzMzk5MDA5MzEifQ==</vt:lpwstr>
  </property>
</Properties>
</file>