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center"/>
        <w:textAlignment w:val="auto"/>
        <w:rPr>
          <w:rFonts w:ascii="Times New Roman" w:hAnsi="Times New Roman" w:eastAsia="仿宋_GB2312" w:cs="宋体"/>
          <w:color w:val="auto"/>
          <w:sz w:val="32"/>
          <w:szCs w:val="31"/>
        </w:rPr>
      </w:pPr>
      <w:bookmarkStart w:id="0" w:name="page1"/>
      <w:bookmarkEnd w:id="0"/>
      <w:r>
        <w:rPr>
          <w:rFonts w:ascii="Times New Roman" w:hAnsi="Times New Roman" w:eastAsia="仿宋_GB2312" w:cs="宋体"/>
          <w:color w:val="auto"/>
          <w:sz w:val="32"/>
          <w:szCs w:val="31"/>
        </w:rPr>
        <w:t>吉财税〔2019</w:t>
      </w:r>
      <w:r>
        <w:rPr>
          <w:rFonts w:hint="eastAsia" w:ascii="Times New Roman" w:hAnsi="Times New Roman" w:eastAsia="仿宋_GB2312" w:cs="宋体"/>
          <w:color w:val="auto"/>
          <w:sz w:val="32"/>
          <w:szCs w:val="31"/>
        </w:rPr>
        <w:t>〕</w:t>
      </w:r>
      <w:r>
        <w:rPr>
          <w:rFonts w:ascii="Times New Roman" w:hAnsi="Times New Roman" w:eastAsia="仿宋_GB2312" w:cs="宋体"/>
          <w:color w:val="auto"/>
          <w:sz w:val="32"/>
          <w:szCs w:val="31"/>
        </w:rPr>
        <w:t>413号</w:t>
      </w:r>
    </w:p>
    <w:p>
      <w:pPr>
        <w:spacing w:after="0" w:line="246" w:lineRule="exact"/>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640" w:firstLine="723" w:firstLineChars="200"/>
        <w:jc w:val="both"/>
        <w:textAlignment w:val="auto"/>
        <w:rPr>
          <w:rFonts w:ascii="宋体" w:hAnsi="宋体" w:eastAsia="宋体" w:cs="宋体"/>
          <w:b/>
          <w:bCs/>
          <w:color w:val="auto"/>
          <w:sz w:val="36"/>
          <w:szCs w:val="36"/>
        </w:rPr>
      </w:pPr>
      <w:r>
        <w:rPr>
          <w:rFonts w:ascii="宋体" w:hAnsi="宋体" w:eastAsia="宋体" w:cs="宋体"/>
          <w:b/>
          <w:bCs/>
          <w:color w:val="auto"/>
          <w:sz w:val="36"/>
          <w:szCs w:val="36"/>
        </w:rPr>
        <w:t>关于转发</w:t>
      </w:r>
      <w:r>
        <w:rPr>
          <w:rFonts w:hint="eastAsia" w:ascii="宋体" w:hAnsi="宋体" w:eastAsia="宋体" w:cs="宋体"/>
          <w:b/>
          <w:bCs/>
          <w:color w:val="auto"/>
          <w:sz w:val="36"/>
          <w:szCs w:val="36"/>
          <w:lang w:eastAsia="zh-CN"/>
        </w:rPr>
        <w:t>《</w:t>
      </w:r>
      <w:r>
        <w:rPr>
          <w:rFonts w:ascii="宋体" w:hAnsi="宋体" w:eastAsia="宋体" w:cs="宋体"/>
          <w:b/>
          <w:bCs/>
          <w:color w:val="auto"/>
          <w:sz w:val="36"/>
          <w:szCs w:val="36"/>
        </w:rPr>
        <w:t>财政部关于调整部分政府性基金</w:t>
      </w:r>
    </w:p>
    <w:p>
      <w:pPr>
        <w:keepNext w:val="0"/>
        <w:keepLines w:val="0"/>
        <w:pageBreakBefore w:val="0"/>
        <w:widowControl/>
        <w:kinsoku/>
        <w:wordWrap/>
        <w:overflowPunct/>
        <w:topLinePunct w:val="0"/>
        <w:autoSpaceDE/>
        <w:autoSpaceDN/>
        <w:bidi w:val="0"/>
        <w:adjustRightInd/>
        <w:snapToGrid/>
        <w:spacing w:after="0" w:line="360" w:lineRule="auto"/>
        <w:ind w:left="640" w:firstLine="2168" w:firstLineChars="600"/>
        <w:jc w:val="both"/>
        <w:textAlignment w:val="auto"/>
        <w:rPr>
          <w:b/>
          <w:bCs/>
          <w:color w:val="auto"/>
          <w:sz w:val="36"/>
          <w:szCs w:val="36"/>
        </w:rPr>
      </w:pPr>
      <w:r>
        <w:rPr>
          <w:rFonts w:ascii="宋体" w:hAnsi="宋体" w:eastAsia="宋体" w:cs="宋体"/>
          <w:b/>
          <w:bCs/>
          <w:color w:val="auto"/>
          <w:sz w:val="36"/>
          <w:szCs w:val="36"/>
        </w:rPr>
        <w:t>有关政策的通知》的通知</w:t>
      </w:r>
    </w:p>
    <w:p>
      <w:pPr>
        <w:spacing w:after="0" w:line="200" w:lineRule="exact"/>
        <w:rPr>
          <w:color w:val="auto"/>
          <w:sz w:val="24"/>
          <w:szCs w:val="24"/>
        </w:rPr>
      </w:pPr>
    </w:p>
    <w:p>
      <w:pPr>
        <w:spacing w:after="0" w:line="200" w:lineRule="exact"/>
        <w:rPr>
          <w:color w:val="auto"/>
          <w:sz w:val="24"/>
          <w:szCs w:val="24"/>
        </w:rPr>
      </w:pPr>
    </w:p>
    <w:p>
      <w:pPr>
        <w:spacing w:after="0" w:line="222" w:lineRule="exact"/>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eastAsia="仿宋_GB2312"/>
          <w:color w:val="auto"/>
          <w:sz w:val="32"/>
          <w:szCs w:val="20"/>
        </w:rPr>
      </w:pPr>
      <w:r>
        <w:rPr>
          <w:rFonts w:ascii="Times New Roman" w:hAnsi="Times New Roman" w:eastAsia="仿宋_GB2312" w:cs="宋体"/>
          <w:color w:val="auto"/>
          <w:sz w:val="32"/>
          <w:szCs w:val="28"/>
        </w:rPr>
        <w:t>省委宣传部、省发展改革委、教育厅、水利厅、国网吉林省电力</w:t>
      </w:r>
      <w:r>
        <w:rPr>
          <w:rFonts w:ascii="Times New Roman" w:hAnsi="Times New Roman" w:eastAsia="仿宋_GB2312" w:cs="宋体"/>
          <w:color w:val="auto"/>
          <w:sz w:val="32"/>
          <w:szCs w:val="27"/>
        </w:rPr>
        <w:t>有限公司、省地方水电有限公司</w:t>
      </w:r>
      <w:r>
        <w:rPr>
          <w:rFonts w:hint="eastAsia" w:ascii="Times New Roman" w:hAnsi="Times New Roman" w:eastAsia="仿宋_GB2312" w:cs="宋体"/>
          <w:color w:val="auto"/>
          <w:sz w:val="32"/>
          <w:szCs w:val="27"/>
          <w:lang w:eastAsia="zh-CN"/>
        </w:rPr>
        <w:t>，</w:t>
      </w:r>
      <w:r>
        <w:rPr>
          <w:rFonts w:ascii="Times New Roman" w:hAnsi="Times New Roman" w:eastAsia="仿宋_GB2312" w:cs="宋体"/>
          <w:color w:val="auto"/>
          <w:sz w:val="32"/>
          <w:szCs w:val="27"/>
        </w:rPr>
        <w:t>各市</w:t>
      </w:r>
      <w:r>
        <w:rPr>
          <w:rFonts w:hint="eastAsia" w:eastAsia="仿宋_GB2312" w:cs="宋体"/>
          <w:color w:val="auto"/>
          <w:sz w:val="32"/>
          <w:szCs w:val="27"/>
          <w:lang w:eastAsia="zh-CN"/>
        </w:rPr>
        <w:t>（</w:t>
      </w:r>
      <w:r>
        <w:rPr>
          <w:rFonts w:ascii="Times New Roman" w:hAnsi="Times New Roman" w:eastAsia="仿宋_GB2312" w:cs="宋体"/>
          <w:color w:val="auto"/>
          <w:sz w:val="32"/>
          <w:szCs w:val="27"/>
        </w:rPr>
        <w:t>州</w:t>
      </w:r>
      <w:r>
        <w:rPr>
          <w:rFonts w:hint="eastAsia" w:eastAsia="仿宋_GB2312" w:cs="宋体"/>
          <w:color w:val="auto"/>
          <w:sz w:val="32"/>
          <w:szCs w:val="27"/>
          <w:lang w:eastAsia="zh-CN"/>
        </w:rPr>
        <w:t>）</w:t>
      </w:r>
      <w:r>
        <w:rPr>
          <w:rFonts w:ascii="Times New Roman" w:hAnsi="Times New Roman" w:eastAsia="仿宋_GB2312" w:cs="宋体"/>
          <w:color w:val="auto"/>
          <w:sz w:val="32"/>
          <w:szCs w:val="27"/>
        </w:rPr>
        <w:t>财政局、税务局</w:t>
      </w:r>
      <w:r>
        <w:rPr>
          <w:rFonts w:hint="eastAsia" w:ascii="Times New Roman" w:hAnsi="Times New Roman" w:eastAsia="仿宋_GB2312" w:cs="宋体"/>
          <w:color w:val="auto"/>
          <w:sz w:val="32"/>
          <w:szCs w:val="27"/>
          <w:lang w:eastAsia="zh-CN"/>
        </w:rPr>
        <w:t>，</w:t>
      </w:r>
      <w:r>
        <w:rPr>
          <w:rFonts w:ascii="Times New Roman" w:hAnsi="Times New Roman" w:eastAsia="仿宋_GB2312" w:cs="宋体"/>
          <w:color w:val="auto"/>
          <w:sz w:val="32"/>
          <w:szCs w:val="30"/>
        </w:rPr>
        <w:t>长白山管委会财政局、税务局</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各县</w:t>
      </w:r>
      <w:r>
        <w:rPr>
          <w:rFonts w:hint="eastAsia" w:eastAsia="仿宋_GB2312" w:cs="宋体"/>
          <w:color w:val="auto"/>
          <w:sz w:val="32"/>
          <w:szCs w:val="30"/>
          <w:lang w:eastAsia="zh-CN"/>
        </w:rPr>
        <w:t>（</w:t>
      </w:r>
      <w:r>
        <w:rPr>
          <w:rFonts w:ascii="Times New Roman" w:hAnsi="Times New Roman" w:eastAsia="仿宋_GB2312" w:cs="宋体"/>
          <w:color w:val="auto"/>
          <w:sz w:val="32"/>
          <w:szCs w:val="30"/>
        </w:rPr>
        <w:t>市</w:t>
      </w:r>
      <w:r>
        <w:rPr>
          <w:rFonts w:hint="eastAsia" w:eastAsia="仿宋_GB2312" w:cs="宋体"/>
          <w:color w:val="auto"/>
          <w:sz w:val="32"/>
          <w:szCs w:val="30"/>
          <w:lang w:eastAsia="zh-CN"/>
        </w:rPr>
        <w:t>）</w:t>
      </w:r>
      <w:r>
        <w:rPr>
          <w:rFonts w:ascii="Times New Roman" w:hAnsi="Times New Roman" w:eastAsia="仿宋_GB2312" w:cs="宋体"/>
          <w:color w:val="auto"/>
          <w:sz w:val="32"/>
          <w:szCs w:val="30"/>
        </w:rPr>
        <w:t>财政局、税务局:</w:t>
      </w:r>
    </w:p>
    <w:p>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both"/>
        <w:textAlignment w:val="auto"/>
        <w:rPr>
          <w:rFonts w:hint="eastAsia" w:ascii="Times New Roman" w:hAnsi="Times New Roman" w:eastAsia="仿宋_GB2312" w:cs="宋体"/>
          <w:color w:val="auto"/>
          <w:sz w:val="32"/>
          <w:szCs w:val="29"/>
          <w:lang w:eastAsia="zh-CN"/>
        </w:rPr>
      </w:pPr>
      <w:r>
        <w:rPr>
          <w:rFonts w:ascii="Times New Roman" w:hAnsi="Times New Roman" w:eastAsia="仿宋_GB2312" w:cs="宋体"/>
          <w:color w:val="auto"/>
          <w:sz w:val="32"/>
          <w:szCs w:val="28"/>
        </w:rPr>
        <w:t>按照《财政部关于调整部分政府性基金有关政策的通知》</w:t>
      </w:r>
      <w:r>
        <w:rPr>
          <w:rFonts w:hint="eastAsia" w:ascii="Times New Roman" w:hAnsi="Times New Roman" w:eastAsia="仿宋_GB2312" w:cs="宋体"/>
          <w:color w:val="auto"/>
          <w:sz w:val="32"/>
          <w:szCs w:val="28"/>
          <w:lang w:eastAsia="zh-CN"/>
        </w:rPr>
        <w:t>（</w:t>
      </w:r>
      <w:r>
        <w:rPr>
          <w:rFonts w:ascii="Times New Roman" w:hAnsi="Times New Roman" w:eastAsia="仿宋_GB2312" w:cs="宋体"/>
          <w:color w:val="auto"/>
          <w:sz w:val="32"/>
          <w:szCs w:val="28"/>
        </w:rPr>
        <w:t>财</w:t>
      </w:r>
      <w:r>
        <w:rPr>
          <w:rFonts w:ascii="Times New Roman" w:hAnsi="Times New Roman" w:eastAsia="仿宋_GB2312" w:cs="宋体"/>
          <w:color w:val="auto"/>
          <w:sz w:val="32"/>
          <w:szCs w:val="31"/>
        </w:rPr>
        <w:t>税〔2019</w:t>
      </w:r>
      <w:r>
        <w:rPr>
          <w:rFonts w:hint="eastAsia" w:ascii="Times New Roman" w:hAnsi="Times New Roman" w:eastAsia="仿宋_GB2312" w:cs="宋体"/>
          <w:color w:val="auto"/>
          <w:sz w:val="32"/>
          <w:szCs w:val="31"/>
        </w:rPr>
        <w:t>〕</w:t>
      </w:r>
      <w:r>
        <w:rPr>
          <w:rFonts w:ascii="Times New Roman" w:hAnsi="Times New Roman" w:eastAsia="仿宋_GB2312" w:cs="宋体"/>
          <w:color w:val="auto"/>
          <w:sz w:val="32"/>
          <w:szCs w:val="31"/>
        </w:rPr>
        <w:t>46号</w:t>
      </w:r>
      <w:r>
        <w:rPr>
          <w:rFonts w:hint="eastAsia" w:ascii="Times New Roman" w:hAnsi="Times New Roman" w:eastAsia="仿宋_GB2312" w:cs="宋体"/>
          <w:color w:val="auto"/>
          <w:sz w:val="32"/>
          <w:szCs w:val="31"/>
          <w:lang w:eastAsia="zh-CN"/>
        </w:rPr>
        <w:t>）</w:t>
      </w:r>
      <w:r>
        <w:rPr>
          <w:rFonts w:ascii="Times New Roman" w:hAnsi="Times New Roman" w:eastAsia="仿宋_GB2312" w:cs="宋体"/>
          <w:color w:val="auto"/>
          <w:sz w:val="32"/>
          <w:szCs w:val="31"/>
        </w:rPr>
        <w:t>规定</w:t>
      </w:r>
      <w:r>
        <w:rPr>
          <w:rFonts w:hint="eastAsia" w:ascii="Times New Roman" w:hAnsi="Times New Roman" w:eastAsia="仿宋_GB2312" w:cs="宋体"/>
          <w:color w:val="auto"/>
          <w:sz w:val="32"/>
          <w:szCs w:val="31"/>
          <w:lang w:eastAsia="zh-CN"/>
        </w:rPr>
        <w:t>，</w:t>
      </w:r>
      <w:r>
        <w:rPr>
          <w:rFonts w:ascii="Times New Roman" w:hAnsi="Times New Roman" w:eastAsia="仿宋_GB2312" w:cs="宋体"/>
          <w:color w:val="auto"/>
          <w:sz w:val="32"/>
          <w:szCs w:val="31"/>
        </w:rPr>
        <w:t>经与省委宣传部研究决定</w:t>
      </w:r>
      <w:r>
        <w:rPr>
          <w:rFonts w:hint="eastAsia" w:ascii="Times New Roman" w:hAnsi="Times New Roman" w:eastAsia="仿宋_GB2312" w:cs="宋体"/>
          <w:color w:val="auto"/>
          <w:sz w:val="32"/>
          <w:szCs w:val="31"/>
          <w:lang w:eastAsia="zh-CN"/>
        </w:rPr>
        <w:t>，</w:t>
      </w:r>
      <w:r>
        <w:rPr>
          <w:rFonts w:ascii="Times New Roman" w:hAnsi="Times New Roman" w:eastAsia="仿宋_GB2312" w:cs="宋体"/>
          <w:color w:val="auto"/>
          <w:sz w:val="32"/>
          <w:szCs w:val="31"/>
        </w:rPr>
        <w:t>自2019年7</w:t>
      </w:r>
      <w:r>
        <w:rPr>
          <w:rFonts w:ascii="Times New Roman" w:hAnsi="Times New Roman" w:eastAsia="仿宋_GB2312" w:cs="宋体"/>
          <w:color w:val="auto"/>
          <w:sz w:val="32"/>
          <w:szCs w:val="30"/>
        </w:rPr>
        <w:t>月1日至2024年12月31日</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对归属地方收入的文化事业建设费按照缴纳义务人应缴费额的50%减征</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其余事项</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按照上述文件</w:t>
      </w:r>
      <w:r>
        <w:rPr>
          <w:rFonts w:ascii="Times New Roman" w:hAnsi="Times New Roman" w:eastAsia="仿宋_GB2312" w:cs="宋体"/>
          <w:color w:val="auto"/>
          <w:sz w:val="32"/>
          <w:szCs w:val="29"/>
        </w:rPr>
        <w:t>的相关规定执行</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29"/>
        </w:rPr>
        <w:t>确保相关政策落实到位</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20"/>
        <w:jc w:val="both"/>
        <w:textAlignment w:val="auto"/>
        <w:rPr>
          <w:rFonts w:hint="eastAsia" w:ascii="Times New Roman" w:hAnsi="Times New Roman" w:eastAsia="仿宋_GB2312" w:cs="宋体"/>
          <w:color w:val="auto"/>
          <w:sz w:val="32"/>
          <w:szCs w:val="29"/>
          <w:lang w:eastAsia="zh-CN"/>
        </w:rPr>
      </w:pPr>
    </w:p>
    <w:p>
      <w:pPr>
        <w:keepNext w:val="0"/>
        <w:keepLines w:val="0"/>
        <w:pageBreakBefore w:val="0"/>
        <w:widowControl/>
        <w:kinsoku/>
        <w:wordWrap/>
        <w:overflowPunct/>
        <w:topLinePunct w:val="0"/>
        <w:autoSpaceDE/>
        <w:autoSpaceDN/>
        <w:bidi w:val="0"/>
        <w:adjustRightInd/>
        <w:snapToGrid/>
        <w:spacing w:after="0" w:line="360" w:lineRule="auto"/>
        <w:ind w:left="20"/>
        <w:jc w:val="both"/>
        <w:textAlignment w:val="auto"/>
        <w:rPr>
          <w:rFonts w:hint="eastAsia" w:ascii="Times New Roman" w:hAnsi="Times New Roman" w:eastAsia="仿宋_GB2312" w:cs="宋体"/>
          <w:color w:val="auto"/>
          <w:sz w:val="32"/>
          <w:szCs w:val="29"/>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eastAsia="仿宋_GB2312"/>
          <w:color w:val="auto"/>
          <w:sz w:val="32"/>
          <w:szCs w:val="20"/>
        </w:rPr>
      </w:pPr>
      <w:r>
        <w:rPr>
          <w:rFonts w:ascii="Times New Roman" w:hAnsi="Times New Roman" w:eastAsia="仿宋_GB2312" w:cs="宋体"/>
          <w:color w:val="auto"/>
          <w:sz w:val="32"/>
          <w:szCs w:val="29"/>
        </w:rPr>
        <w:t>附件:《财政部关于调整部分政府性基金有关政策的通知》</w:t>
      </w:r>
      <w:r>
        <w:rPr>
          <w:rFonts w:ascii="Times New Roman" w:hAnsi="Times New Roman" w:eastAsia="仿宋_GB2312" w:cs="宋体"/>
          <w:color w:val="auto"/>
          <w:sz w:val="32"/>
          <w:szCs w:val="36"/>
        </w:rPr>
        <w:t>税〔2019</w:t>
      </w:r>
      <w:r>
        <w:rPr>
          <w:rFonts w:hint="eastAsia" w:ascii="Times New Roman" w:hAnsi="Times New Roman" w:eastAsia="仿宋_GB2312" w:cs="宋体"/>
          <w:color w:val="auto"/>
          <w:sz w:val="32"/>
          <w:szCs w:val="36"/>
        </w:rPr>
        <w:t>〕</w:t>
      </w:r>
      <w:r>
        <w:rPr>
          <w:rFonts w:ascii="Times New Roman" w:hAnsi="Times New Roman" w:eastAsia="仿宋_GB2312" w:cs="宋体"/>
          <w:color w:val="auto"/>
          <w:sz w:val="32"/>
          <w:szCs w:val="36"/>
        </w:rPr>
        <w:t>46号</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eastAsia="仿宋_GB2312"/>
          <w:sz w:val="32"/>
        </w:rPr>
        <w:sectPr>
          <w:pgSz w:w="11900" w:h="16840"/>
          <w:pgMar w:top="2098" w:right="1474" w:bottom="1984" w:left="1587" w:header="0" w:footer="0" w:gutter="0"/>
          <w:cols w:equalWidth="0" w:num="1">
            <w:col w:w="9880"/>
          </w:cols>
        </w:sectPr>
      </w:pPr>
    </w:p>
    <w:p>
      <w:pPr>
        <w:spacing w:after="0" w:line="354" w:lineRule="exact"/>
        <w:ind w:left="3140"/>
        <w:jc w:val="both"/>
        <w:rPr>
          <w:rFonts w:ascii="宋体" w:hAnsi="宋体" w:eastAsia="宋体" w:cs="宋体"/>
          <w:color w:val="auto"/>
          <w:sz w:val="31"/>
          <w:szCs w:val="31"/>
        </w:rPr>
      </w:pPr>
    </w:p>
    <w:p>
      <w:pPr>
        <w:spacing w:after="0" w:line="354" w:lineRule="exact"/>
        <w:ind w:left="3140"/>
        <w:jc w:val="both"/>
        <w:rPr>
          <w:rFonts w:ascii="宋体" w:hAnsi="宋体" w:eastAsia="宋体" w:cs="宋体"/>
          <w:color w:val="auto"/>
          <w:sz w:val="31"/>
          <w:szCs w:val="31"/>
        </w:rPr>
      </w:pPr>
    </w:p>
    <w:p>
      <w:pPr>
        <w:spacing w:after="0" w:line="354" w:lineRule="exact"/>
        <w:ind w:left="3140"/>
        <w:jc w:val="both"/>
        <w:rPr>
          <w:rFonts w:ascii="宋体" w:hAnsi="宋体" w:eastAsia="宋体" w:cs="宋体"/>
          <w:color w:val="auto"/>
          <w:sz w:val="31"/>
          <w:szCs w:val="31"/>
        </w:rPr>
      </w:pPr>
    </w:p>
    <w:p>
      <w:pPr>
        <w:spacing w:after="0" w:line="354" w:lineRule="exact"/>
        <w:ind w:left="3140"/>
        <w:jc w:val="both"/>
        <w:rPr>
          <w:color w:val="auto"/>
          <w:sz w:val="20"/>
          <w:szCs w:val="20"/>
        </w:rPr>
      </w:pPr>
      <w:r>
        <w:rPr>
          <w:rFonts w:ascii="宋体" w:hAnsi="宋体" w:eastAsia="宋体" w:cs="宋体"/>
          <w:color w:val="auto"/>
          <w:sz w:val="31"/>
          <w:szCs w:val="31"/>
        </w:rPr>
        <w:t>财税〔2019〕46号</w:t>
      </w:r>
    </w:p>
    <w:p>
      <w:pPr>
        <w:spacing w:after="0" w:line="200" w:lineRule="exact"/>
        <w:jc w:val="both"/>
        <w:rPr>
          <w:color w:val="auto"/>
          <w:sz w:val="24"/>
          <w:szCs w:val="24"/>
        </w:rPr>
      </w:pPr>
    </w:p>
    <w:p>
      <w:pPr>
        <w:spacing w:after="0" w:line="303" w:lineRule="exact"/>
        <w:jc w:val="both"/>
        <w:rPr>
          <w:color w:val="auto"/>
          <w:sz w:val="24"/>
          <w:szCs w:val="24"/>
        </w:rPr>
      </w:pPr>
    </w:p>
    <w:p>
      <w:pPr>
        <w:spacing w:after="0" w:line="457" w:lineRule="exact"/>
        <w:ind w:left="1900"/>
        <w:jc w:val="both"/>
        <w:rPr>
          <w:b/>
          <w:bCs/>
          <w:color w:val="auto"/>
          <w:sz w:val="36"/>
          <w:szCs w:val="36"/>
        </w:rPr>
      </w:pPr>
      <w:r>
        <w:rPr>
          <w:rFonts w:ascii="宋体" w:hAnsi="宋体" w:eastAsia="宋体" w:cs="宋体"/>
          <w:b/>
          <w:bCs/>
          <w:color w:val="auto"/>
          <w:sz w:val="36"/>
          <w:szCs w:val="36"/>
        </w:rPr>
        <w:t>财政部关于调整部分政府性</w:t>
      </w:r>
    </w:p>
    <w:p>
      <w:pPr>
        <w:spacing w:after="0" w:line="164" w:lineRule="exact"/>
        <w:jc w:val="both"/>
        <w:rPr>
          <w:b/>
          <w:bCs/>
          <w:color w:val="auto"/>
          <w:sz w:val="36"/>
          <w:szCs w:val="36"/>
        </w:rPr>
      </w:pPr>
    </w:p>
    <w:p>
      <w:pPr>
        <w:spacing w:after="0" w:line="457" w:lineRule="exact"/>
        <w:ind w:left="2540"/>
        <w:jc w:val="both"/>
        <w:rPr>
          <w:b/>
          <w:bCs/>
          <w:color w:val="auto"/>
          <w:sz w:val="36"/>
          <w:szCs w:val="36"/>
        </w:rPr>
      </w:pPr>
      <w:r>
        <w:rPr>
          <w:rFonts w:ascii="宋体" w:hAnsi="宋体" w:eastAsia="宋体" w:cs="宋体"/>
          <w:b/>
          <w:bCs/>
          <w:color w:val="auto"/>
          <w:sz w:val="36"/>
          <w:szCs w:val="36"/>
        </w:rPr>
        <w:t>基金有关政策的通知</w:t>
      </w:r>
    </w:p>
    <w:p>
      <w:pPr>
        <w:spacing w:after="0" w:line="200" w:lineRule="exact"/>
        <w:jc w:val="both"/>
        <w:rPr>
          <w:color w:val="auto"/>
          <w:sz w:val="24"/>
          <w:szCs w:val="24"/>
        </w:rPr>
      </w:pPr>
    </w:p>
    <w:p>
      <w:pPr>
        <w:spacing w:after="0" w:line="200" w:lineRule="exact"/>
        <w:jc w:val="both"/>
        <w:rPr>
          <w:color w:val="auto"/>
          <w:sz w:val="24"/>
          <w:szCs w:val="24"/>
        </w:rPr>
      </w:pPr>
    </w:p>
    <w:p>
      <w:pPr>
        <w:spacing w:after="0" w:line="200" w:lineRule="exact"/>
        <w:jc w:val="both"/>
        <w:rPr>
          <w:color w:val="auto"/>
          <w:sz w:val="24"/>
          <w:szCs w:val="24"/>
        </w:rPr>
      </w:pPr>
    </w:p>
    <w:p>
      <w:pPr>
        <w:spacing w:after="0" w:line="250" w:lineRule="exact"/>
        <w:jc w:val="both"/>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160"/>
        <w:jc w:val="both"/>
        <w:textAlignment w:val="auto"/>
        <w:rPr>
          <w:rFonts w:hint="eastAsia" w:ascii="Times New Roman" w:hAnsi="Times New Roman" w:eastAsia="仿宋_GB2312" w:cs="宋体"/>
          <w:color w:val="auto"/>
          <w:sz w:val="32"/>
          <w:szCs w:val="31"/>
          <w:lang w:eastAsia="zh-CN"/>
        </w:rPr>
      </w:pPr>
      <w:r>
        <w:rPr>
          <w:rFonts w:ascii="Times New Roman" w:hAnsi="Times New Roman" w:eastAsia="仿宋_GB2312" w:cs="宋体"/>
          <w:color w:val="auto"/>
          <w:sz w:val="32"/>
          <w:szCs w:val="29"/>
        </w:rPr>
        <w:t>中共中央宣传部</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29"/>
        </w:rPr>
        <w:t>发展改革委、教育部、水利部、民航局、税务</w:t>
      </w:r>
      <w:r>
        <w:rPr>
          <w:rFonts w:ascii="Times New Roman" w:hAnsi="Times New Roman" w:eastAsia="仿宋_GB2312" w:cs="宋体"/>
          <w:color w:val="auto"/>
          <w:sz w:val="32"/>
          <w:szCs w:val="30"/>
        </w:rPr>
        <w:t>总局</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国家电网有限公司、中国南方电网有限责任公司</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各省</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自治区、直辖市财政厅</w:t>
      </w:r>
      <w:r>
        <w:rPr>
          <w:rFonts w:hint="eastAsia" w:eastAsia="仿宋_GB2312" w:cs="宋体"/>
          <w:color w:val="auto"/>
          <w:sz w:val="32"/>
          <w:szCs w:val="30"/>
          <w:lang w:eastAsia="zh-CN"/>
        </w:rPr>
        <w:t>（</w:t>
      </w:r>
      <w:r>
        <w:rPr>
          <w:rFonts w:ascii="Times New Roman" w:hAnsi="Times New Roman" w:eastAsia="仿宋_GB2312" w:cs="宋体"/>
          <w:color w:val="auto"/>
          <w:sz w:val="32"/>
          <w:szCs w:val="30"/>
        </w:rPr>
        <w:t>局</w:t>
      </w:r>
      <w:r>
        <w:rPr>
          <w:rFonts w:hint="eastAsia" w:eastAsia="仿宋_GB2312" w:cs="宋体"/>
          <w:color w:val="auto"/>
          <w:sz w:val="32"/>
          <w:szCs w:val="30"/>
          <w:lang w:eastAsia="zh-CN"/>
        </w:rPr>
        <w:t>）</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新疆生产建设兵团财政局</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财政部</w:t>
      </w:r>
      <w:r>
        <w:rPr>
          <w:rFonts w:ascii="Times New Roman" w:hAnsi="Times New Roman" w:eastAsia="仿宋_GB2312" w:cs="宋体"/>
          <w:color w:val="auto"/>
          <w:sz w:val="32"/>
          <w:szCs w:val="31"/>
        </w:rPr>
        <w:t>各地监管局</w:t>
      </w:r>
      <w:r>
        <w:rPr>
          <w:rFonts w:hint="eastAsia" w:ascii="Times New Roman" w:hAnsi="Times New Roman" w:eastAsia="仿宋_GB2312" w:cs="宋体"/>
          <w:color w:val="auto"/>
          <w:sz w:val="32"/>
          <w:szCs w:val="31"/>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160"/>
        <w:jc w:val="both"/>
        <w:textAlignment w:val="auto"/>
        <w:rPr>
          <w:rFonts w:ascii="Times New Roman" w:hAnsi="Times New Roman" w:eastAsia="仿宋_GB2312"/>
          <w:color w:val="auto"/>
          <w:sz w:val="32"/>
          <w:szCs w:val="24"/>
        </w:rPr>
      </w:pPr>
      <w:r>
        <w:rPr>
          <w:rFonts w:hint="eastAsia" w:ascii="Times New Roman" w:hAnsi="Times New Roman" w:eastAsia="仿宋_GB2312" w:cs="宋体"/>
          <w:color w:val="auto"/>
          <w:sz w:val="32"/>
          <w:szCs w:val="31"/>
          <w:lang w:val="en-US" w:eastAsia="zh-CN"/>
        </w:rPr>
        <w:t xml:space="preserve">        </w:t>
      </w:r>
      <w:r>
        <w:rPr>
          <w:rFonts w:ascii="Times New Roman" w:hAnsi="Times New Roman" w:eastAsia="仿宋_GB2312" w:cs="宋体"/>
          <w:color w:val="auto"/>
          <w:sz w:val="32"/>
          <w:szCs w:val="28"/>
        </w:rPr>
        <w:t>按照国务院决策部署</w:t>
      </w:r>
      <w:r>
        <w:rPr>
          <w:rFonts w:hint="eastAsia" w:ascii="Times New Roman" w:hAnsi="Times New Roman" w:eastAsia="仿宋_GB2312" w:cs="宋体"/>
          <w:color w:val="auto"/>
          <w:sz w:val="32"/>
          <w:szCs w:val="28"/>
          <w:lang w:eastAsia="zh-CN"/>
        </w:rPr>
        <w:t>，</w:t>
      </w:r>
      <w:r>
        <w:rPr>
          <w:rFonts w:ascii="Times New Roman" w:hAnsi="Times New Roman" w:eastAsia="仿宋_GB2312" w:cs="宋体"/>
          <w:color w:val="auto"/>
          <w:sz w:val="32"/>
          <w:szCs w:val="28"/>
        </w:rPr>
        <w:t>现将调整部分政府性基金政策的有关</w:t>
      </w:r>
      <w:r>
        <w:rPr>
          <w:rFonts w:ascii="Times New Roman" w:hAnsi="Times New Roman" w:eastAsia="仿宋_GB2312" w:cs="宋体"/>
          <w:color w:val="auto"/>
          <w:sz w:val="32"/>
          <w:szCs w:val="29"/>
        </w:rPr>
        <w:t>事项通知如下</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960" w:firstLineChars="300"/>
        <w:jc w:val="both"/>
        <w:textAlignment w:val="auto"/>
        <w:rPr>
          <w:rFonts w:hint="eastAsia" w:ascii="Times New Roman" w:hAnsi="Times New Roman" w:eastAsia="仿宋_GB2312"/>
          <w:color w:val="auto"/>
          <w:sz w:val="32"/>
          <w:szCs w:val="20"/>
          <w:lang w:eastAsia="zh-CN"/>
        </w:rPr>
      </w:pPr>
      <w:r>
        <w:rPr>
          <w:rFonts w:hint="eastAsia" w:ascii="Times New Roman" w:hAnsi="Times New Roman" w:eastAsia="仿宋_GB2312" w:cs="宋体"/>
          <w:color w:val="auto"/>
          <w:sz w:val="32"/>
          <w:szCs w:val="29"/>
          <w:lang w:eastAsia="zh-CN"/>
        </w:rPr>
        <w:t>一、</w:t>
      </w:r>
      <w:r>
        <w:rPr>
          <w:rFonts w:ascii="Times New Roman" w:hAnsi="Times New Roman" w:eastAsia="仿宋_GB2312" w:cs="宋体"/>
          <w:color w:val="auto"/>
          <w:sz w:val="32"/>
          <w:szCs w:val="29"/>
        </w:rPr>
        <w:t>自2019年7月1日至2024年12月31日,对归属中央收入的文化事业建设费,按照缴纳义务人应缴费额的50%减征</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29"/>
        </w:rPr>
        <w:t>对归属地</w:t>
      </w:r>
      <w:r>
        <w:rPr>
          <w:rFonts w:ascii="Times New Roman" w:hAnsi="Times New Roman" w:eastAsia="仿宋_GB2312" w:cs="宋体"/>
          <w:color w:val="auto"/>
          <w:sz w:val="32"/>
          <w:szCs w:val="31"/>
        </w:rPr>
        <w:t>方收入的文化事业建设费,各省</w:t>
      </w:r>
      <w:r>
        <w:rPr>
          <w:rFonts w:hint="eastAsia" w:eastAsia="仿宋_GB2312" w:cs="宋体"/>
          <w:color w:val="auto"/>
          <w:sz w:val="32"/>
          <w:szCs w:val="31"/>
          <w:lang w:eastAsia="zh-CN"/>
        </w:rPr>
        <w:t>（</w:t>
      </w:r>
      <w:r>
        <w:rPr>
          <w:rFonts w:ascii="Times New Roman" w:hAnsi="Times New Roman" w:eastAsia="仿宋_GB2312" w:cs="宋体"/>
          <w:color w:val="auto"/>
          <w:sz w:val="32"/>
          <w:szCs w:val="31"/>
        </w:rPr>
        <w:t>区、市</w:t>
      </w:r>
      <w:r>
        <w:rPr>
          <w:rFonts w:hint="eastAsia" w:eastAsia="仿宋_GB2312" w:cs="宋体"/>
          <w:color w:val="auto"/>
          <w:sz w:val="32"/>
          <w:szCs w:val="31"/>
          <w:lang w:eastAsia="zh-CN"/>
        </w:rPr>
        <w:t>）</w:t>
      </w:r>
      <w:r>
        <w:rPr>
          <w:rFonts w:ascii="Times New Roman" w:hAnsi="Times New Roman" w:eastAsia="仿宋_GB2312" w:cs="宋体"/>
          <w:color w:val="auto"/>
          <w:sz w:val="32"/>
          <w:szCs w:val="31"/>
        </w:rPr>
        <w:t>财政、党委宣传部门</w:t>
      </w:r>
      <w:r>
        <w:rPr>
          <w:rFonts w:ascii="Times New Roman" w:hAnsi="Times New Roman" w:eastAsia="仿宋_GB2312" w:cs="宋体"/>
          <w:color w:val="auto"/>
          <w:sz w:val="32"/>
          <w:szCs w:val="30"/>
        </w:rPr>
        <w:t>可以结合当地经济发展水平、宣传思想文化事业发展等因素,在应缴费额50%的幅度内减征</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各省</w:t>
      </w:r>
      <w:r>
        <w:rPr>
          <w:rFonts w:hint="eastAsia" w:eastAsia="仿宋_GB2312" w:cs="宋体"/>
          <w:color w:val="auto"/>
          <w:sz w:val="32"/>
          <w:szCs w:val="31"/>
          <w:lang w:eastAsia="zh-CN"/>
        </w:rPr>
        <w:t>（</w:t>
      </w:r>
      <w:r>
        <w:rPr>
          <w:rFonts w:ascii="Times New Roman" w:hAnsi="Times New Roman" w:eastAsia="仿宋_GB2312" w:cs="宋体"/>
          <w:color w:val="auto"/>
          <w:sz w:val="32"/>
          <w:szCs w:val="31"/>
        </w:rPr>
        <w:t>区、市</w:t>
      </w:r>
      <w:r>
        <w:rPr>
          <w:rFonts w:hint="eastAsia" w:eastAsia="仿宋_GB2312" w:cs="宋体"/>
          <w:color w:val="auto"/>
          <w:sz w:val="32"/>
          <w:szCs w:val="31"/>
          <w:lang w:eastAsia="zh-CN"/>
        </w:rPr>
        <w:t>）</w:t>
      </w:r>
      <w:r>
        <w:rPr>
          <w:rFonts w:ascii="Times New Roman" w:hAnsi="Times New Roman" w:eastAsia="仿宋_GB2312" w:cs="宋体"/>
          <w:color w:val="auto"/>
          <w:sz w:val="32"/>
          <w:szCs w:val="30"/>
        </w:rPr>
        <w:t>财政、党委宣传部门</w:t>
      </w:r>
      <w:r>
        <w:rPr>
          <w:rFonts w:ascii="Times New Roman" w:hAnsi="Times New Roman" w:eastAsia="仿宋_GB2312" w:cs="宋体"/>
          <w:color w:val="auto"/>
          <w:sz w:val="32"/>
          <w:szCs w:val="29"/>
        </w:rPr>
        <w:t>应当将本地区制定的减征政策文件抄送财政部、中共中央宣传部</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right="0" w:firstLine="640" w:firstLineChars="200"/>
        <w:jc w:val="both"/>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30"/>
        </w:rPr>
        <w:t>各级财政部门要统筹安排资金,根据宣传思想文化事业需要积极予以支持,确保相关工作顺利开展</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中央财政加大对财力薄弱地方的转移支付力度,支持地方做好相关工作</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各级财政用于</w:t>
      </w:r>
      <w:r>
        <w:rPr>
          <w:rFonts w:ascii="Times New Roman" w:hAnsi="Times New Roman" w:eastAsia="仿宋_GB2312" w:cs="宋体"/>
          <w:color w:val="auto"/>
          <w:sz w:val="32"/>
          <w:szCs w:val="29"/>
        </w:rPr>
        <w:t>宣传思想文化事业方面的经费继续按照现有资金管理方式使用</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0" w:right="0" w:firstLine="640" w:firstLineChars="200"/>
        <w:jc w:val="both"/>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30"/>
        </w:rPr>
        <w:t>二、自2019年7月1日起</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将国家重大水利工程建设基金征收标准降低50%</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降低后各省</w:t>
      </w:r>
      <w:r>
        <w:rPr>
          <w:rFonts w:hint="eastAsia" w:eastAsia="仿宋_GB2312" w:cs="宋体"/>
          <w:color w:val="auto"/>
          <w:sz w:val="32"/>
          <w:szCs w:val="31"/>
          <w:lang w:eastAsia="zh-CN"/>
        </w:rPr>
        <w:t>（</w:t>
      </w:r>
      <w:r>
        <w:rPr>
          <w:rFonts w:ascii="Times New Roman" w:hAnsi="Times New Roman" w:eastAsia="仿宋_GB2312" w:cs="宋体"/>
          <w:color w:val="auto"/>
          <w:sz w:val="32"/>
          <w:szCs w:val="31"/>
        </w:rPr>
        <w:t>区、市</w:t>
      </w:r>
      <w:r>
        <w:rPr>
          <w:rFonts w:hint="eastAsia" w:eastAsia="仿宋_GB2312" w:cs="宋体"/>
          <w:color w:val="auto"/>
          <w:sz w:val="32"/>
          <w:szCs w:val="31"/>
          <w:lang w:eastAsia="zh-CN"/>
        </w:rPr>
        <w:t>）</w:t>
      </w:r>
      <w:r>
        <w:rPr>
          <w:rFonts w:ascii="Times New Roman" w:hAnsi="Times New Roman" w:eastAsia="仿宋_GB2312" w:cs="宋体"/>
          <w:color w:val="auto"/>
          <w:sz w:val="32"/>
          <w:szCs w:val="30"/>
        </w:rPr>
        <w:t>征收标准见附件1</w:t>
      </w:r>
      <w:r>
        <w:rPr>
          <w:rFonts w:hint="eastAsia" w:ascii="Times New Roman" w:hAnsi="Times New Roman" w:eastAsia="仿宋_GB2312" w:cs="宋体"/>
          <w:color w:val="auto"/>
          <w:sz w:val="32"/>
          <w:szCs w:val="30"/>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0" w:right="0" w:firstLine="640" w:firstLineChars="200"/>
        <w:jc w:val="both"/>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25"/>
        </w:rPr>
        <w:t>国家重大水利工程建设基金征收至2025年12月31日</w:t>
      </w:r>
      <w:r>
        <w:rPr>
          <w:rFonts w:hint="eastAsia" w:ascii="Times New Roman" w:hAnsi="Times New Roman" w:eastAsia="仿宋_GB2312" w:cs="宋体"/>
          <w:color w:val="auto"/>
          <w:sz w:val="32"/>
          <w:szCs w:val="25"/>
          <w:lang w:eastAsia="zh-CN"/>
        </w:rPr>
        <w:t>。</w:t>
      </w:r>
      <w:r>
        <w:rPr>
          <w:rFonts w:ascii="Times New Roman" w:hAnsi="Times New Roman" w:eastAsia="仿宋_GB2312" w:cs="宋体"/>
          <w:color w:val="auto"/>
          <w:sz w:val="32"/>
          <w:szCs w:val="25"/>
        </w:rPr>
        <w:t>自2020年1月1日起,缴入中央国库的国家重大水利工程建设基金,根据</w:t>
      </w:r>
      <w:r>
        <w:rPr>
          <w:rFonts w:ascii="Times New Roman" w:hAnsi="Times New Roman" w:eastAsia="仿宋_GB2312" w:cs="宋体"/>
          <w:color w:val="auto"/>
          <w:sz w:val="32"/>
          <w:szCs w:val="30"/>
        </w:rPr>
        <w:t>国务院批复的相关规划</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统筹用于南水北调工程和三峡后续工作等。具体资金分配根据基金年度实际征收情况,以及国务院批复</w:t>
      </w:r>
      <w:r>
        <w:rPr>
          <w:rFonts w:ascii="Times New Roman" w:hAnsi="Times New Roman" w:eastAsia="仿宋_GB2312" w:cs="宋体"/>
          <w:color w:val="auto"/>
          <w:sz w:val="32"/>
          <w:szCs w:val="29"/>
        </w:rPr>
        <w:t>的南水北调工程和三峡后续工作相关规划的资金落实情况等统筹</w:t>
      </w:r>
      <w:r>
        <w:rPr>
          <w:rFonts w:ascii="Times New Roman" w:hAnsi="Times New Roman" w:eastAsia="仿宋_GB2312" w:cs="宋体"/>
          <w:color w:val="auto"/>
          <w:sz w:val="32"/>
          <w:szCs w:val="27"/>
        </w:rPr>
        <w:t>安排</w:t>
      </w:r>
      <w:r>
        <w:rPr>
          <w:rFonts w:hint="eastAsia" w:ascii="Times New Roman" w:hAnsi="Times New Roman" w:eastAsia="仿宋_GB2312" w:cs="宋体"/>
          <w:color w:val="auto"/>
          <w:sz w:val="32"/>
          <w:szCs w:val="27"/>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320" w:firstLineChars="100"/>
        <w:jc w:val="both"/>
        <w:textAlignment w:val="auto"/>
        <w:rPr>
          <w:rFonts w:hint="eastAsia" w:ascii="Times New Roman" w:hAnsi="Times New Roman" w:eastAsia="仿宋_GB2312" w:cs="宋体"/>
          <w:color w:val="auto"/>
          <w:sz w:val="32"/>
          <w:szCs w:val="30"/>
          <w:lang w:eastAsia="zh-CN"/>
        </w:rPr>
      </w:pPr>
      <w:r>
        <w:rPr>
          <w:rFonts w:hint="eastAsia" w:ascii="Times New Roman" w:hAnsi="Times New Roman" w:eastAsia="仿宋_GB2312" w:cs="宋体"/>
          <w:color w:val="auto"/>
          <w:sz w:val="32"/>
          <w:szCs w:val="30"/>
          <w:lang w:val="en-US" w:eastAsia="zh-CN"/>
        </w:rPr>
        <w:t xml:space="preserve">  三、</w:t>
      </w:r>
      <w:r>
        <w:rPr>
          <w:rFonts w:ascii="Times New Roman" w:hAnsi="Times New Roman" w:eastAsia="仿宋_GB2312" w:cs="宋体"/>
          <w:color w:val="auto"/>
          <w:sz w:val="32"/>
          <w:szCs w:val="30"/>
        </w:rPr>
        <w:t>自2019年1月1日起</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0"/>
        </w:rPr>
        <w:t>纳入产教融合型企业建设培育</w:t>
      </w:r>
      <w:r>
        <w:rPr>
          <w:rFonts w:hint="eastAsia" w:ascii="Times New Roman" w:hAnsi="Times New Roman" w:eastAsia="仿宋_GB2312" w:cs="宋体"/>
          <w:color w:val="auto"/>
          <w:sz w:val="32"/>
          <w:szCs w:val="30"/>
          <w:lang w:eastAsia="zh-CN"/>
        </w:rPr>
        <w:t>范</w:t>
      </w:r>
      <w:r>
        <w:rPr>
          <w:rFonts w:ascii="Times New Roman" w:hAnsi="Times New Roman" w:eastAsia="仿宋_GB2312" w:cs="宋体"/>
          <w:color w:val="auto"/>
          <w:sz w:val="32"/>
          <w:szCs w:val="30"/>
        </w:rPr>
        <w:t>围</w:t>
      </w:r>
      <w:r>
        <w:rPr>
          <w:rFonts w:ascii="Times New Roman" w:hAnsi="Times New Roman" w:eastAsia="仿宋_GB2312" w:cs="宋体"/>
          <w:color w:val="auto"/>
          <w:sz w:val="32"/>
          <w:szCs w:val="31"/>
        </w:rPr>
        <w:t>的试点企业,兴办职业教育的投资符合本通知规定的,可按投资</w:t>
      </w:r>
      <w:r>
        <w:rPr>
          <w:rFonts w:ascii="Times New Roman" w:hAnsi="Times New Roman" w:eastAsia="仿宋_GB2312" w:cs="宋体"/>
          <w:color w:val="auto"/>
          <w:sz w:val="32"/>
          <w:szCs w:val="29"/>
        </w:rPr>
        <w:t>额的30%比例,抵免该企业当年应缴教育费附加和地方教育附加</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30"/>
        </w:rPr>
        <w:t>试点企业属于集团企业的,其下属成员单位</w:t>
      </w:r>
      <w:r>
        <w:rPr>
          <w:rFonts w:hint="eastAsia" w:eastAsia="仿宋_GB2312" w:cs="宋体"/>
          <w:color w:val="auto"/>
          <w:sz w:val="32"/>
          <w:szCs w:val="30"/>
          <w:lang w:eastAsia="zh-CN"/>
        </w:rPr>
        <w:t>（</w:t>
      </w:r>
      <w:r>
        <w:rPr>
          <w:rFonts w:ascii="Times New Roman" w:hAnsi="Times New Roman" w:eastAsia="仿宋_GB2312" w:cs="宋体"/>
          <w:color w:val="auto"/>
          <w:sz w:val="32"/>
          <w:szCs w:val="30"/>
        </w:rPr>
        <w:t>包括全资子公司</w:t>
      </w:r>
      <w:r>
        <w:rPr>
          <w:rFonts w:hint="eastAsia" w:ascii="Times New Roman" w:hAnsi="Times New Roman" w:eastAsia="仿宋_GB2312" w:cs="宋体"/>
          <w:color w:val="auto"/>
          <w:sz w:val="32"/>
          <w:szCs w:val="30"/>
          <w:lang w:eastAsia="zh-CN"/>
        </w:rPr>
        <w:t>、</w:t>
      </w:r>
      <w:r>
        <w:rPr>
          <w:rFonts w:ascii="Times New Roman" w:hAnsi="Times New Roman" w:eastAsia="仿宋_GB2312" w:cs="宋体"/>
          <w:color w:val="auto"/>
          <w:sz w:val="32"/>
          <w:szCs w:val="31"/>
        </w:rPr>
        <w:t>控股子公司</w:t>
      </w:r>
      <w:r>
        <w:rPr>
          <w:rFonts w:hint="eastAsia" w:eastAsia="仿宋_GB2312" w:cs="宋体"/>
          <w:color w:val="auto"/>
          <w:sz w:val="32"/>
          <w:szCs w:val="31"/>
          <w:lang w:eastAsia="zh-CN"/>
        </w:rPr>
        <w:t>）</w:t>
      </w:r>
      <w:r>
        <w:rPr>
          <w:rFonts w:ascii="Times New Roman" w:hAnsi="Times New Roman" w:eastAsia="仿宋_GB2312" w:cs="宋体"/>
          <w:color w:val="auto"/>
          <w:sz w:val="32"/>
          <w:szCs w:val="31"/>
        </w:rPr>
        <w:t>对职业教育有实际投入的,可按本通知规定抵免教</w:t>
      </w:r>
      <w:r>
        <w:rPr>
          <w:rFonts w:ascii="Times New Roman" w:hAnsi="Times New Roman" w:eastAsia="仿宋_GB2312" w:cs="宋体"/>
          <w:color w:val="auto"/>
          <w:sz w:val="32"/>
          <w:szCs w:val="30"/>
        </w:rPr>
        <w:t>育费附加和地方教育附加</w:t>
      </w:r>
      <w:r>
        <w:rPr>
          <w:rFonts w:hint="eastAsia" w:ascii="Times New Roman" w:hAnsi="Times New Roman" w:eastAsia="仿宋_GB2312" w:cs="宋体"/>
          <w:color w:val="auto"/>
          <w:sz w:val="32"/>
          <w:szCs w:val="30"/>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20" w:firstLine="640" w:firstLineChars="200"/>
        <w:jc w:val="both"/>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30"/>
        </w:rPr>
        <w:t>允许抵免的投资是指试点企业当年实际发生的,独立举办或</w:t>
      </w:r>
      <w:r>
        <w:rPr>
          <w:rFonts w:ascii="Times New Roman" w:hAnsi="Times New Roman" w:eastAsia="仿宋_GB2312" w:cs="宋体"/>
          <w:color w:val="auto"/>
          <w:sz w:val="32"/>
          <w:szCs w:val="29"/>
        </w:rPr>
        <w:t>参与举办职业教育的办学投资和办学经费支出,以及按照有关规定与职业院校稳定开展校企合作,对产教融合实训基地等国家规划布局的产教融合重大项目建设投资和基本运行费用的支出</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0" w:firstLine="640" w:firstLineChars="200"/>
        <w:jc w:val="both"/>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29"/>
        </w:rPr>
        <w:t>试点企业当年应缴教育费附加和地方教育附加不足抵的</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29"/>
        </w:rPr>
        <w:t>未抵免部分可在以后年度继续抵免</w:t>
      </w:r>
      <w:r>
        <w:rPr>
          <w:rFonts w:hint="eastAsia" w:ascii="Times New Roman" w:hAnsi="Times New Roman" w:eastAsia="仿宋_GB2312" w:cs="宋体"/>
          <w:color w:val="auto"/>
          <w:sz w:val="32"/>
          <w:szCs w:val="29"/>
          <w:lang w:eastAsia="zh-CN"/>
        </w:rPr>
        <w:t>。</w:t>
      </w:r>
      <w:r>
        <w:rPr>
          <w:rFonts w:ascii="Times New Roman" w:hAnsi="Times New Roman" w:eastAsia="仿宋_GB2312" w:cs="宋体"/>
          <w:color w:val="auto"/>
          <w:sz w:val="32"/>
          <w:szCs w:val="29"/>
        </w:rPr>
        <w:t>试点企业有撤回投资和转让股权等行为的,应当补缴已经抵免的教育</w:t>
      </w:r>
      <w:bookmarkStart w:id="1" w:name="_GoBack"/>
      <w:bookmarkEnd w:id="1"/>
      <w:r>
        <w:rPr>
          <w:rFonts w:ascii="Times New Roman" w:hAnsi="Times New Roman" w:eastAsia="仿宋_GB2312" w:cs="宋体"/>
          <w:color w:val="auto"/>
          <w:sz w:val="32"/>
          <w:szCs w:val="29"/>
        </w:rPr>
        <w:t>费附加和地方教育附加</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both"/>
        <w:textAlignment w:val="auto"/>
        <w:rPr>
          <w:rFonts w:hint="eastAsia" w:ascii="Times New Roman" w:hAnsi="Times New Roman" w:eastAsia="仿宋_GB2312"/>
          <w:color w:val="auto"/>
          <w:sz w:val="32"/>
          <w:szCs w:val="20"/>
          <w:lang w:val="en-US" w:eastAsia="zh-CN"/>
        </w:rPr>
      </w:pPr>
      <w:r>
        <w:rPr>
          <w:rFonts w:ascii="Times New Roman" w:hAnsi="Times New Roman" w:eastAsia="仿宋_GB2312" w:cs="宋体"/>
          <w:color w:val="auto"/>
          <w:sz w:val="32"/>
          <w:szCs w:val="28"/>
        </w:rPr>
        <w:t>四、自2019年7月1日起</w:t>
      </w:r>
      <w:r>
        <w:rPr>
          <w:rFonts w:hint="eastAsia" w:ascii="Times New Roman" w:hAnsi="Times New Roman" w:eastAsia="仿宋_GB2312" w:cs="宋体"/>
          <w:color w:val="auto"/>
          <w:sz w:val="32"/>
          <w:szCs w:val="28"/>
          <w:lang w:eastAsia="zh-CN"/>
        </w:rPr>
        <w:t>，</w:t>
      </w:r>
      <w:r>
        <w:rPr>
          <w:rFonts w:ascii="Times New Roman" w:hAnsi="Times New Roman" w:eastAsia="仿宋_GB2312" w:cs="宋体"/>
          <w:color w:val="auto"/>
          <w:sz w:val="32"/>
          <w:szCs w:val="28"/>
        </w:rPr>
        <w:t>将《财政部关于印发〈民航发展基金</w:t>
      </w:r>
      <w:r>
        <w:rPr>
          <w:rFonts w:ascii="Times New Roman" w:hAnsi="Times New Roman" w:eastAsia="仿宋_GB2312" w:cs="宋体"/>
          <w:color w:val="auto"/>
          <w:sz w:val="32"/>
          <w:szCs w:val="29"/>
        </w:rPr>
        <w:t>征收使用管理暂行办法</w:t>
      </w:r>
      <w:r>
        <w:rPr>
          <w:rFonts w:hint="eastAsia" w:ascii="Times New Roman" w:hAnsi="Times New Roman" w:eastAsia="仿宋_GB2312" w:cs="宋体"/>
          <w:color w:val="auto"/>
          <w:sz w:val="32"/>
          <w:szCs w:val="29"/>
          <w:lang w:val="en-US" w:eastAsia="zh-CN"/>
        </w:rPr>
        <w:t>&gt;</w:t>
      </w:r>
      <w:r>
        <w:rPr>
          <w:rFonts w:ascii="Times New Roman" w:hAnsi="Times New Roman" w:eastAsia="仿宋_GB2312" w:cs="宋体"/>
          <w:color w:val="auto"/>
          <w:sz w:val="32"/>
          <w:szCs w:val="29"/>
        </w:rPr>
        <w:t>的通知》</w:t>
      </w:r>
      <w:r>
        <w:rPr>
          <w:rFonts w:hint="eastAsia" w:eastAsia="仿宋_GB2312" w:cs="宋体"/>
          <w:color w:val="auto"/>
          <w:sz w:val="32"/>
          <w:szCs w:val="29"/>
          <w:lang w:eastAsia="zh-CN"/>
        </w:rPr>
        <w:t>（</w:t>
      </w:r>
      <w:r>
        <w:rPr>
          <w:rFonts w:ascii="Times New Roman" w:hAnsi="Times New Roman" w:eastAsia="仿宋_GB2312" w:cs="宋体"/>
          <w:color w:val="auto"/>
          <w:sz w:val="32"/>
          <w:szCs w:val="29"/>
        </w:rPr>
        <w:t>财综〔2012〕17号</w:t>
      </w:r>
      <w:r>
        <w:rPr>
          <w:rFonts w:hint="eastAsia" w:eastAsia="仿宋_GB2312" w:cs="宋体"/>
          <w:color w:val="auto"/>
          <w:sz w:val="32"/>
          <w:szCs w:val="29"/>
          <w:lang w:eastAsia="zh-CN"/>
        </w:rPr>
        <w:t>）</w:t>
      </w:r>
      <w:r>
        <w:rPr>
          <w:rFonts w:ascii="Times New Roman" w:hAnsi="Times New Roman" w:eastAsia="仿宋_GB2312" w:cs="宋体"/>
          <w:color w:val="auto"/>
          <w:sz w:val="32"/>
          <w:szCs w:val="29"/>
        </w:rPr>
        <w:t>第八条规</w:t>
      </w:r>
      <w:r>
        <w:rPr>
          <w:rFonts w:ascii="Times New Roman" w:hAnsi="Times New Roman" w:eastAsia="仿宋_GB2312" w:cs="宋体"/>
          <w:color w:val="auto"/>
          <w:sz w:val="32"/>
          <w:szCs w:val="28"/>
        </w:rPr>
        <w:t>定的航空公司应缴纳民航发展基金的征收标准降低50%。降低后的</w:t>
      </w:r>
      <w:r>
        <w:rPr>
          <w:rFonts w:ascii="Times New Roman" w:hAnsi="Times New Roman" w:eastAsia="仿宋_GB2312" w:cs="宋体"/>
          <w:color w:val="auto"/>
          <w:sz w:val="32"/>
          <w:szCs w:val="29"/>
        </w:rPr>
        <w:t>征收标准见附件2</w:t>
      </w:r>
      <w:r>
        <w:rPr>
          <w:rFonts w:hint="eastAsia" w:ascii="Times New Roman" w:hAnsi="Times New Roman" w:eastAsia="仿宋_GB2312" w:cs="宋体"/>
          <w:color w:val="auto"/>
          <w:sz w:val="32"/>
          <w:szCs w:val="29"/>
          <w:lang w:eastAsia="zh-CN"/>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_GB2312"/>
          <w:color w:val="auto"/>
          <w:sz w:val="32"/>
          <w:szCs w:val="24"/>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_GB2312"/>
          <w:color w:val="auto"/>
          <w:sz w:val="32"/>
          <w:szCs w:val="24"/>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_GB2312"/>
          <w:color w:val="auto"/>
          <w:sz w:val="32"/>
          <w:szCs w:val="24"/>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eastAsia="仿宋_GB2312"/>
          <w:color w:val="auto"/>
          <w:sz w:val="32"/>
          <w:szCs w:val="24"/>
        </w:rPr>
      </w:pPr>
      <w:r>
        <w:rPr>
          <w:rFonts w:ascii="Times New Roman" w:hAnsi="Times New Roman" w:eastAsia="仿宋_GB2312" w:cs="宋体"/>
          <w:color w:val="auto"/>
          <w:sz w:val="32"/>
          <w:szCs w:val="29"/>
        </w:rPr>
        <w:t>附件:</w:t>
      </w:r>
      <w:r>
        <w:rPr>
          <w:rFonts w:hint="eastAsia" w:ascii="Times New Roman" w:hAnsi="Times New Roman" w:eastAsia="仿宋_GB2312" w:cs="宋体"/>
          <w:color w:val="auto"/>
          <w:sz w:val="32"/>
          <w:szCs w:val="29"/>
          <w:lang w:val="en-US" w:eastAsia="zh-CN"/>
        </w:rPr>
        <w:t xml:space="preserve"> </w:t>
      </w:r>
      <w:r>
        <w:rPr>
          <w:rFonts w:ascii="Times New Roman" w:hAnsi="Times New Roman" w:eastAsia="仿宋_GB2312" w:cs="宋体"/>
          <w:color w:val="auto"/>
          <w:sz w:val="32"/>
          <w:szCs w:val="29"/>
        </w:rPr>
        <w:t>1.国家重大水利工程建设基金征收标准</w:t>
      </w:r>
    </w:p>
    <w:p>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auto"/>
          <w:sz w:val="32"/>
          <w:szCs w:val="20"/>
        </w:rPr>
      </w:pPr>
      <w:r>
        <w:rPr>
          <w:rFonts w:ascii="Times New Roman" w:hAnsi="Times New Roman" w:eastAsia="仿宋_GB2312" w:cs="宋体"/>
          <w:color w:val="auto"/>
          <w:sz w:val="32"/>
          <w:szCs w:val="29"/>
        </w:rPr>
        <w:t>2.航空公司民航发展基金征收标准</w:t>
      </w:r>
    </w:p>
    <w:p>
      <w:pPr>
        <w:keepNext w:val="0"/>
        <w:keepLines w:val="0"/>
        <w:pageBreakBefore w:val="0"/>
        <w:widowControl/>
        <w:numPr>
          <w:ilvl w:val="0"/>
          <w:numId w:val="0"/>
        </w:numPr>
        <w:kinsoku/>
        <w:wordWrap/>
        <w:overflowPunct/>
        <w:topLinePunct w:val="0"/>
        <w:autoSpaceDE/>
        <w:autoSpaceDN/>
        <w:bidi w:val="0"/>
        <w:adjustRightInd/>
        <w:snapToGrid/>
        <w:spacing w:after="0" w:line="343" w:lineRule="exact"/>
        <w:ind w:firstLine="400" w:firstLineChars="200"/>
        <w:textAlignment w:val="auto"/>
        <w:rPr>
          <w:color w:val="auto"/>
          <w:sz w:val="20"/>
          <w:szCs w:val="20"/>
        </w:rPr>
      </w:pPr>
    </w:p>
    <w:p>
      <w:pPr>
        <w:spacing w:after="0" w:line="331" w:lineRule="exact"/>
        <w:ind w:left="20"/>
        <w:jc w:val="both"/>
        <w:rPr>
          <w:rFonts w:hint="eastAsia" w:ascii="宋体" w:hAnsi="宋体" w:eastAsia="宋体" w:cs="宋体"/>
          <w:color w:val="auto"/>
          <w:sz w:val="29"/>
          <w:szCs w:val="29"/>
          <w:lang w:eastAsia="zh-CN"/>
        </w:rPr>
      </w:pPr>
    </w:p>
    <w:p>
      <w:pPr>
        <w:spacing w:after="0" w:line="331" w:lineRule="exact"/>
        <w:jc w:val="both"/>
        <w:rPr>
          <w:rFonts w:hint="eastAsia" w:ascii="宋体" w:hAnsi="宋体" w:eastAsia="宋体" w:cs="宋体"/>
          <w:color w:val="auto"/>
          <w:sz w:val="29"/>
          <w:szCs w:val="29"/>
          <w:lang w:eastAsia="zh-CN"/>
        </w:rPr>
      </w:pPr>
    </w:p>
    <w:p>
      <w:pPr>
        <w:spacing w:after="0" w:line="331" w:lineRule="exact"/>
        <w:jc w:val="both"/>
        <w:rPr>
          <w:rFonts w:hint="eastAsia" w:ascii="宋体" w:hAnsi="宋体" w:eastAsia="宋体" w:cs="宋体"/>
          <w:color w:val="auto"/>
          <w:sz w:val="29"/>
          <w:szCs w:val="29"/>
          <w:lang w:eastAsia="zh-CN"/>
        </w:rPr>
      </w:pPr>
    </w:p>
    <w:p>
      <w:pPr>
        <w:spacing w:after="0" w:line="331" w:lineRule="exact"/>
        <w:jc w:val="both"/>
        <w:rPr>
          <w:rFonts w:hint="eastAsia" w:ascii="宋体" w:hAnsi="宋体" w:eastAsia="宋体" w:cs="宋体"/>
          <w:color w:val="auto"/>
          <w:sz w:val="29"/>
          <w:szCs w:val="29"/>
          <w:lang w:eastAsia="zh-CN"/>
        </w:rPr>
      </w:pPr>
    </w:p>
    <w:p>
      <w:pPr>
        <w:spacing w:after="0" w:line="331" w:lineRule="exact"/>
        <w:jc w:val="both"/>
        <w:rPr>
          <w:rFonts w:hint="eastAsia" w:ascii="宋体" w:hAnsi="宋体" w:eastAsia="宋体" w:cs="宋体"/>
          <w:color w:val="auto"/>
          <w:sz w:val="29"/>
          <w:szCs w:val="29"/>
          <w:lang w:eastAsia="zh-CN"/>
        </w:rPr>
      </w:pPr>
    </w:p>
    <w:tbl>
      <w:tblPr>
        <w:tblStyle w:val="2"/>
        <w:tblW w:w="8353" w:type="dxa"/>
        <w:tblInd w:w="0" w:type="dxa"/>
        <w:shd w:val="clear" w:color="auto" w:fill="auto"/>
        <w:tblLayout w:type="fixed"/>
        <w:tblCellMar>
          <w:top w:w="0" w:type="dxa"/>
          <w:left w:w="0" w:type="dxa"/>
          <w:bottom w:w="0" w:type="dxa"/>
          <w:right w:w="0" w:type="dxa"/>
        </w:tblCellMar>
      </w:tblPr>
      <w:tblGrid>
        <w:gridCol w:w="3877"/>
        <w:gridCol w:w="4476"/>
      </w:tblGrid>
      <w:tr>
        <w:tblPrEx>
          <w:tblLayout w:type="fixed"/>
          <w:tblCellMar>
            <w:top w:w="0" w:type="dxa"/>
            <w:left w:w="0" w:type="dxa"/>
            <w:bottom w:w="0" w:type="dxa"/>
            <w:right w:w="0" w:type="dxa"/>
          </w:tblCellMar>
        </w:tblPrEx>
        <w:trPr>
          <w:trHeight w:val="576" w:hRule="atLeast"/>
        </w:trPr>
        <w:tc>
          <w:tcPr>
            <w:tcW w:w="835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附件1</w:t>
            </w:r>
          </w:p>
        </w:tc>
      </w:tr>
      <w:tr>
        <w:tblPrEx>
          <w:tblLayout w:type="fixed"/>
          <w:tblCellMar>
            <w:top w:w="0" w:type="dxa"/>
            <w:left w:w="0" w:type="dxa"/>
            <w:bottom w:w="0" w:type="dxa"/>
            <w:right w:w="0" w:type="dxa"/>
          </w:tblCellMar>
        </w:tblPrEx>
        <w:trPr>
          <w:trHeight w:val="288" w:hRule="atLeast"/>
        </w:trPr>
        <w:tc>
          <w:tcPr>
            <w:tcW w:w="8353" w:type="dxa"/>
            <w:gridSpan w:val="2"/>
            <w:vMerge w:val="restar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国家重大水利工程建设基金征收标准</w:t>
            </w:r>
          </w:p>
        </w:tc>
      </w:tr>
      <w:tr>
        <w:tblPrEx>
          <w:shd w:val="clear" w:color="auto" w:fill="auto"/>
          <w:tblLayout w:type="fixed"/>
          <w:tblCellMar>
            <w:top w:w="0" w:type="dxa"/>
            <w:left w:w="0" w:type="dxa"/>
            <w:bottom w:w="0" w:type="dxa"/>
            <w:right w:w="0" w:type="dxa"/>
          </w:tblCellMar>
        </w:tblPrEx>
        <w:trPr>
          <w:trHeight w:val="288" w:hRule="atLeast"/>
        </w:trPr>
        <w:tc>
          <w:tcPr>
            <w:tcW w:w="8353" w:type="dxa"/>
            <w:gridSpan w:val="2"/>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2"/>
                <w:szCs w:val="32"/>
                <w:u w:val="none"/>
              </w:rPr>
            </w:pPr>
          </w:p>
        </w:tc>
      </w:tr>
      <w:tr>
        <w:tblPrEx>
          <w:shd w:val="clear" w:color="auto" w:fill="auto"/>
          <w:tblLayout w:type="fixed"/>
          <w:tblCellMar>
            <w:top w:w="0" w:type="dxa"/>
            <w:left w:w="0" w:type="dxa"/>
            <w:bottom w:w="0" w:type="dxa"/>
            <w:right w:w="0" w:type="dxa"/>
          </w:tblCellMar>
        </w:tblPrEx>
        <w:trPr>
          <w:trHeight w:val="84" w:hRule="atLeast"/>
        </w:trPr>
        <w:tc>
          <w:tcPr>
            <w:tcW w:w="8353" w:type="dxa"/>
            <w:gridSpan w:val="2"/>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2"/>
                <w:szCs w:val="32"/>
                <w:u w:val="none"/>
              </w:rPr>
            </w:pPr>
          </w:p>
        </w:tc>
      </w:tr>
      <w:tr>
        <w:tblPrEx>
          <w:tblLayout w:type="fixed"/>
          <w:tblCellMar>
            <w:top w:w="0" w:type="dxa"/>
            <w:left w:w="0" w:type="dxa"/>
            <w:bottom w:w="0" w:type="dxa"/>
            <w:right w:w="0" w:type="dxa"/>
          </w:tblCellMar>
        </w:tblPrEx>
        <w:trPr>
          <w:trHeight w:val="288" w:hRule="atLeast"/>
        </w:trPr>
        <w:tc>
          <w:tcPr>
            <w:tcW w:w="835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单位：厘/千瓦时</w:t>
            </w:r>
          </w:p>
        </w:tc>
      </w:tr>
      <w:tr>
        <w:tblPrEx>
          <w:tblLayout w:type="fixed"/>
          <w:tblCellMar>
            <w:top w:w="0" w:type="dxa"/>
            <w:left w:w="0" w:type="dxa"/>
            <w:bottom w:w="0" w:type="dxa"/>
            <w:right w:w="0" w:type="dxa"/>
          </w:tblCellMar>
        </w:tblPrEx>
        <w:trPr>
          <w:trHeight w:val="660"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省（区、市）</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征收标准</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4.1934375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浙江</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3.63375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1.5525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3.189375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1.96875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贵州</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甘肃</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青海</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shd w:val="clear" w:color="auto" w:fill="auto"/>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宁夏</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r>
        <w:tblPrEx>
          <w:tblLayout w:type="fixed"/>
          <w:tblCellMar>
            <w:top w:w="0" w:type="dxa"/>
            <w:left w:w="0" w:type="dxa"/>
            <w:bottom w:w="0" w:type="dxa"/>
            <w:right w:w="0" w:type="dxa"/>
          </w:tblCellMar>
        </w:tblPrEx>
        <w:trPr>
          <w:trHeight w:val="288" w:hRule="atLeast"/>
        </w:trPr>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44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r>
    </w:tbl>
    <w:p>
      <w:pPr>
        <w:spacing w:after="0" w:line="331" w:lineRule="exact"/>
        <w:jc w:val="both"/>
        <w:rPr>
          <w:rFonts w:hint="default" w:ascii="宋体" w:hAnsi="宋体" w:eastAsia="宋体" w:cs="宋体"/>
          <w:color w:val="auto"/>
          <w:sz w:val="29"/>
          <w:szCs w:val="29"/>
          <w:lang w:val="en-US" w:eastAsia="zh-CN"/>
        </w:rPr>
      </w:pPr>
    </w:p>
    <w:p>
      <w:pPr>
        <w:spacing w:after="0" w:line="331" w:lineRule="exact"/>
        <w:jc w:val="both"/>
        <w:rPr>
          <w:rFonts w:hint="default" w:ascii="宋体" w:hAnsi="宋体" w:eastAsia="宋体" w:cs="宋体"/>
          <w:color w:val="auto"/>
          <w:sz w:val="29"/>
          <w:szCs w:val="29"/>
          <w:lang w:val="en-US" w:eastAsia="zh-CN"/>
        </w:rPr>
      </w:pPr>
    </w:p>
    <w:p>
      <w:pPr>
        <w:spacing w:after="0" w:line="331" w:lineRule="exact"/>
        <w:jc w:val="both"/>
        <w:rPr>
          <w:rFonts w:hint="default" w:ascii="宋体" w:hAnsi="宋体" w:eastAsia="宋体" w:cs="宋体"/>
          <w:color w:val="auto"/>
          <w:sz w:val="29"/>
          <w:szCs w:val="29"/>
          <w:lang w:val="en-US" w:eastAsia="zh-CN"/>
        </w:rPr>
      </w:pPr>
    </w:p>
    <w:tbl>
      <w:tblPr>
        <w:tblStyle w:val="2"/>
        <w:tblW w:w="8149" w:type="dxa"/>
        <w:tblInd w:w="0" w:type="dxa"/>
        <w:shd w:val="clear" w:color="auto" w:fill="auto"/>
        <w:tblLayout w:type="fixed"/>
        <w:tblCellMar>
          <w:top w:w="0" w:type="dxa"/>
          <w:left w:w="0" w:type="dxa"/>
          <w:bottom w:w="0" w:type="dxa"/>
          <w:right w:w="0" w:type="dxa"/>
        </w:tblCellMar>
      </w:tblPr>
      <w:tblGrid>
        <w:gridCol w:w="2353"/>
        <w:gridCol w:w="2004"/>
        <w:gridCol w:w="2040"/>
        <w:gridCol w:w="1752"/>
      </w:tblGrid>
      <w:tr>
        <w:tblPrEx>
          <w:shd w:val="clear" w:color="auto" w:fill="auto"/>
          <w:tblLayout w:type="fixed"/>
          <w:tblCellMar>
            <w:top w:w="0" w:type="dxa"/>
            <w:left w:w="0" w:type="dxa"/>
            <w:bottom w:w="0" w:type="dxa"/>
            <w:right w:w="0" w:type="dxa"/>
          </w:tblCellMar>
        </w:tblPrEx>
        <w:trPr>
          <w:trHeight w:val="740" w:hRule="atLeast"/>
        </w:trPr>
        <w:tc>
          <w:tcPr>
            <w:tcW w:w="8149"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附件2</w:t>
            </w:r>
          </w:p>
        </w:tc>
      </w:tr>
      <w:tr>
        <w:tblPrEx>
          <w:shd w:val="clear" w:color="auto" w:fill="auto"/>
          <w:tblLayout w:type="fixed"/>
          <w:tblCellMar>
            <w:top w:w="0" w:type="dxa"/>
            <w:left w:w="0" w:type="dxa"/>
            <w:bottom w:w="0" w:type="dxa"/>
            <w:right w:w="0" w:type="dxa"/>
          </w:tblCellMar>
        </w:tblPrEx>
        <w:trPr>
          <w:trHeight w:val="288" w:hRule="atLeast"/>
        </w:trPr>
        <w:tc>
          <w:tcPr>
            <w:tcW w:w="8149" w:type="dxa"/>
            <w:gridSpan w:val="4"/>
            <w:vMerge w:val="restar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航空公司民航发展基金征收标准</w:t>
            </w:r>
          </w:p>
        </w:tc>
      </w:tr>
      <w:tr>
        <w:tblPrEx>
          <w:shd w:val="clear" w:color="auto" w:fill="auto"/>
          <w:tblLayout w:type="fixed"/>
          <w:tblCellMar>
            <w:top w:w="0" w:type="dxa"/>
            <w:left w:w="0" w:type="dxa"/>
            <w:bottom w:w="0" w:type="dxa"/>
            <w:right w:w="0" w:type="dxa"/>
          </w:tblCellMar>
        </w:tblPrEx>
        <w:trPr>
          <w:trHeight w:val="288" w:hRule="atLeast"/>
        </w:trPr>
        <w:tc>
          <w:tcPr>
            <w:tcW w:w="8149" w:type="dxa"/>
            <w:gridSpan w:val="4"/>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trHeight w:val="288" w:hRule="atLeast"/>
        </w:trPr>
        <w:tc>
          <w:tcPr>
            <w:tcW w:w="8149" w:type="dxa"/>
            <w:gridSpan w:val="4"/>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trHeight w:val="288" w:hRule="atLeast"/>
        </w:trPr>
        <w:tc>
          <w:tcPr>
            <w:tcW w:w="8149" w:type="dxa"/>
            <w:gridSpan w:val="4"/>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6"/>
                <w:szCs w:val="36"/>
                <w:u w:val="none"/>
              </w:rPr>
            </w:pPr>
          </w:p>
        </w:tc>
      </w:tr>
      <w:tr>
        <w:tblPrEx>
          <w:shd w:val="clear" w:color="auto" w:fill="auto"/>
          <w:tblLayout w:type="fixed"/>
          <w:tblCellMar>
            <w:top w:w="0" w:type="dxa"/>
            <w:left w:w="0" w:type="dxa"/>
            <w:bottom w:w="0" w:type="dxa"/>
            <w:right w:w="0" w:type="dxa"/>
          </w:tblCellMar>
        </w:tblPrEx>
        <w:trPr>
          <w:trHeight w:val="288" w:hRule="atLeast"/>
        </w:trPr>
        <w:tc>
          <w:tcPr>
            <w:tcW w:w="8149"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单位：元/公里</w:t>
            </w:r>
          </w:p>
        </w:tc>
      </w:tr>
      <w:tr>
        <w:tblPrEx>
          <w:shd w:val="clear" w:color="auto" w:fill="auto"/>
          <w:tblLayout w:type="fixed"/>
          <w:tblCellMar>
            <w:top w:w="0" w:type="dxa"/>
            <w:left w:w="0" w:type="dxa"/>
            <w:bottom w:w="0" w:type="dxa"/>
            <w:right w:w="0" w:type="dxa"/>
          </w:tblCellMar>
        </w:tblPrEx>
        <w:trPr>
          <w:trHeight w:val="74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最大起飞全重</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第一类航线</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第二类航线</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第二类航线</w:t>
            </w:r>
          </w:p>
        </w:tc>
      </w:tr>
      <w:tr>
        <w:tblPrEx>
          <w:shd w:val="clear" w:color="auto" w:fill="auto"/>
          <w:tblLayout w:type="fixed"/>
          <w:tblCellMar>
            <w:top w:w="0" w:type="dxa"/>
            <w:left w:w="0" w:type="dxa"/>
            <w:bottom w:w="0" w:type="dxa"/>
            <w:right w:w="0" w:type="dxa"/>
          </w:tblCellMar>
        </w:tblPrEx>
        <w:trPr>
          <w:trHeight w:val="74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r>
              <w:rPr>
                <w:rStyle w:val="4"/>
                <w:lang w:val="en-US" w:eastAsia="zh-CN" w:bidi="ar"/>
              </w:rPr>
              <w:t>50吨</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0.375</w:t>
            </w:r>
          </w:p>
        </w:tc>
      </w:tr>
      <w:tr>
        <w:tblPrEx>
          <w:tblLayout w:type="fixed"/>
          <w:tblCellMar>
            <w:top w:w="0" w:type="dxa"/>
            <w:left w:w="0" w:type="dxa"/>
            <w:bottom w:w="0" w:type="dxa"/>
            <w:right w:w="0" w:type="dxa"/>
          </w:tblCellMar>
        </w:tblPrEx>
        <w:trPr>
          <w:trHeight w:val="74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50-100（含）</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0.725</w:t>
            </w:r>
          </w:p>
        </w:tc>
      </w:tr>
      <w:tr>
        <w:tblPrEx>
          <w:tblLayout w:type="fixed"/>
          <w:tblCellMar>
            <w:top w:w="0" w:type="dxa"/>
            <w:left w:w="0" w:type="dxa"/>
            <w:bottom w:w="0" w:type="dxa"/>
            <w:right w:w="0" w:type="dxa"/>
          </w:tblCellMar>
        </w:tblPrEx>
        <w:trPr>
          <w:trHeight w:val="74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100-200（含）</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Layout w:type="fixed"/>
          <w:tblCellMar>
            <w:top w:w="0" w:type="dxa"/>
            <w:left w:w="0" w:type="dxa"/>
            <w:bottom w:w="0" w:type="dxa"/>
            <w:right w:w="0" w:type="dxa"/>
          </w:tblCellMar>
        </w:tblPrEx>
        <w:trPr>
          <w:trHeight w:val="74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&gt;</w:t>
            </w:r>
            <w:r>
              <w:rPr>
                <w:rStyle w:val="4"/>
                <w:lang w:val="en-US" w:eastAsia="zh-CN" w:bidi="ar"/>
              </w:rPr>
              <w:t>200吨</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r>
    </w:tbl>
    <w:p>
      <w:pPr>
        <w:spacing w:after="0" w:line="331" w:lineRule="exact"/>
        <w:jc w:val="both"/>
        <w:rPr>
          <w:rFonts w:hint="default" w:ascii="宋体" w:hAnsi="宋体" w:eastAsia="宋体" w:cs="宋体"/>
          <w:color w:val="auto"/>
          <w:sz w:val="29"/>
          <w:szCs w:val="29"/>
          <w:lang w:val="en-US" w:eastAsia="zh-CN"/>
        </w:rPr>
      </w:pPr>
    </w:p>
    <w:sectPr>
      <w:pgSz w:w="11900" w:h="16840"/>
      <w:pgMar w:top="2098" w:right="1474" w:bottom="1984" w:left="1587" w:header="0" w:footer="0" w:gutter="0"/>
      <w:cols w:equalWidth="0" w:num="1">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E02FA"/>
    <w:rsid w:val="388A1D1C"/>
    <w:rsid w:val="3F5C640E"/>
    <w:rsid w:val="497B3367"/>
    <w:rsid w:val="4B424DD5"/>
    <w:rsid w:val="56A02E54"/>
    <w:rsid w:val="5ED352DB"/>
    <w:rsid w:val="65F5348C"/>
    <w:rsid w:val="68847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TotalTime>
  <ScaleCrop>false</ScaleCrop>
  <LinksUpToDate>false</LinksUpToDate>
  <CharactersWithSpaces>3</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2019-08-14T16:22:00Z</dcterms:created>
  <dc:creator>Windows User</dc:creator>
  <cp:lastModifiedBy>悦阿赵i</cp:lastModifiedBy>
  <dcterms:modified xsi:type="dcterms:W3CDTF">2019-08-15T07:04:34Z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